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D4D5C" w:rsidRDefault="00AE7171" w:rsidP="00F049AB">
      <w:pPr>
        <w:pStyle w:val="Tytuinfomacjisygnalnej"/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35664452" wp14:editId="2F57DB60">
                <wp:simplePos x="0" y="0"/>
                <wp:positionH relativeFrom="margin">
                  <wp:posOffset>2428875</wp:posOffset>
                </wp:positionH>
                <wp:positionV relativeFrom="paragraph">
                  <wp:posOffset>1195705</wp:posOffset>
                </wp:positionV>
                <wp:extent cx="2271395" cy="1154430"/>
                <wp:effectExtent l="0" t="0" r="0" b="7620"/>
                <wp:wrapSquare wrapText="bothSides"/>
                <wp:docPr id="6" name="Pole tekstowe 2" descr="Wzrost liczby mieszkań w porównaniu z wynikami NSP 2011: 17,3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139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86A" w:rsidRPr="00110FC8" w:rsidRDefault="003D386A" w:rsidP="003D386A">
                            <w:pPr>
                              <w:pStyle w:val="Ikonawskanika"/>
                            </w:pPr>
                            <w:r w:rsidRPr="00110FC8">
                              <w:sym w:font="Wingdings" w:char="F0F1"/>
                            </w:r>
                            <w:r w:rsidRPr="00110FC8">
                              <w:t xml:space="preserve"> </w:t>
                            </w:r>
                            <w:r w:rsidR="00DB621E" w:rsidRPr="00110FC8">
                              <w:rPr>
                                <w:rStyle w:val="WartowskanikaZnak"/>
                              </w:rPr>
                              <w:t>17,3</w:t>
                            </w:r>
                            <w:r w:rsidRPr="00110FC8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:rsidR="00587032" w:rsidRPr="007D605C" w:rsidRDefault="00A9524D" w:rsidP="00587032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110FC8">
                              <w:t>Wzrost l</w:t>
                            </w:r>
                            <w:r w:rsidR="004A6296" w:rsidRPr="00110FC8">
                              <w:t>iczb</w:t>
                            </w:r>
                            <w:r w:rsidRPr="00110FC8">
                              <w:t>y</w:t>
                            </w:r>
                            <w:r w:rsidR="004A6296" w:rsidRPr="00110FC8">
                              <w:t xml:space="preserve"> mieszkań </w:t>
                            </w:r>
                            <w:r w:rsidR="00567763" w:rsidRPr="00110FC8">
                              <w:t xml:space="preserve">w porównaniu z </w:t>
                            </w:r>
                            <w:r w:rsidR="003508CA" w:rsidRPr="00110FC8">
                              <w:t xml:space="preserve">wynikami </w:t>
                            </w:r>
                            <w:r w:rsidR="00567763" w:rsidRPr="00110FC8">
                              <w:t>NSP 201</w:t>
                            </w:r>
                            <w:r w:rsidR="00E27213" w:rsidRPr="00110FC8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664452" id="Pole tekstowe 2" o:spid="_x0000_s1026" alt="Wzrost liczby mieszkań w porównaniu z wynikami NSP 2011: 17,3%" style="position:absolute;margin-left:191.25pt;margin-top:94.15pt;width:178.85pt;height:90.9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" fillcolor="#001d77" stroked="f">
                <v:stroke joinstyle="miter"/>
                <v:textbox>
                  <w:txbxContent>
                    <w:p w:rsidR="003D386A" w:rsidRPr="00110FC8" w:rsidRDefault="003D386A" w:rsidP="003D386A">
                      <w:pPr>
                        <w:pStyle w:val="Ikonawskanika"/>
                      </w:pPr>
                      <w:r w:rsidRPr="00110FC8">
                        <w:sym w:font="Wingdings" w:char="F0F1"/>
                      </w:r>
                      <w:r w:rsidRPr="00110FC8">
                        <w:t xml:space="preserve"> </w:t>
                      </w:r>
                      <w:r w:rsidR="00DB621E" w:rsidRPr="00110FC8">
                        <w:rPr>
                          <w:rStyle w:val="WartowskanikaZnak"/>
                        </w:rPr>
                        <w:t>17,3</w:t>
                      </w:r>
                      <w:r w:rsidRPr="00110FC8">
                        <w:rPr>
                          <w:rStyle w:val="WartowskanikaZnak"/>
                        </w:rPr>
                        <w:t>%</w:t>
                      </w:r>
                    </w:p>
                    <w:p w:rsidR="00587032" w:rsidRPr="007D605C" w:rsidRDefault="00A9524D" w:rsidP="00587032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110FC8">
                        <w:t>Wzrost l</w:t>
                      </w:r>
                      <w:r w:rsidR="004A6296" w:rsidRPr="00110FC8">
                        <w:t>iczb</w:t>
                      </w:r>
                      <w:r w:rsidRPr="00110FC8">
                        <w:t>y</w:t>
                      </w:r>
                      <w:r w:rsidR="004A6296" w:rsidRPr="00110FC8">
                        <w:t xml:space="preserve"> mieszkań </w:t>
                      </w:r>
                      <w:r w:rsidR="00567763" w:rsidRPr="00110FC8">
                        <w:t xml:space="preserve">w porównaniu z </w:t>
                      </w:r>
                      <w:r w:rsidR="003508CA" w:rsidRPr="00110FC8">
                        <w:t xml:space="preserve">wynikami </w:t>
                      </w:r>
                      <w:r w:rsidR="00567763" w:rsidRPr="00110FC8">
                        <w:t>NSP 201</w:t>
                      </w:r>
                      <w:r w:rsidR="00E27213" w:rsidRPr="00110FC8">
                        <w:t>1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A6296" w:rsidRPr="006D4D5C">
        <w:rPr>
          <w:rFonts w:ascii="Fira Sans" w:hAnsi="Fira Sans"/>
          <w:noProof/>
          <w:color w:val="001D77"/>
          <w:sz w:val="19"/>
          <w:szCs w:val="22"/>
          <w:shd w:val="clear" w:color="auto" w:fill="auto"/>
          <w:lang w:eastAsia="pl-PL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5887C6B1" wp14:editId="6BDE65D1">
                <wp:simplePos x="0" y="0"/>
                <wp:positionH relativeFrom="margin">
                  <wp:posOffset>0</wp:posOffset>
                </wp:positionH>
                <wp:positionV relativeFrom="page">
                  <wp:posOffset>2326943</wp:posOffset>
                </wp:positionV>
                <wp:extent cx="2292350" cy="1154430"/>
                <wp:effectExtent l="0" t="0" r="0" b="7620"/>
                <wp:wrapSquare wrapText="bothSides"/>
                <wp:docPr id="17" name="Pole tekstowe 2" descr="Spadek liczby ludności w porównaniu z wynikami NSP 2011:  -0,4%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86A" w:rsidRPr="008A03F6" w:rsidRDefault="003D386A" w:rsidP="003D386A">
                            <w:pPr>
                              <w:spacing w:before="0" w:after="0" w:line="240" w:lineRule="auto"/>
                              <w:contextualSpacing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8A03F6">
                              <w:rPr>
                                <w:rFonts w:ascii="Fira Sans SemiBold" w:hAnsi="Fira Sans SemiBold"/>
                                <w:color w:val="66AFDE"/>
                                <w:sz w:val="60"/>
                                <w:szCs w:val="60"/>
                              </w:rPr>
                              <w:sym w:font="Wingdings" w:char="F0F2"/>
                            </w:r>
                            <w:r w:rsidRPr="008A03F6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7B39EE" w:rsidRPr="008A03F6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0,4</w:t>
                            </w:r>
                            <w:r w:rsidRPr="008A03F6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%</w:t>
                            </w:r>
                          </w:p>
                          <w:p w:rsidR="006D4D5C" w:rsidRPr="007D605C" w:rsidRDefault="003D386A" w:rsidP="006D4D5C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8A03F6">
                              <w:t>Spadek</w:t>
                            </w:r>
                            <w:r w:rsidR="00567763" w:rsidRPr="008A03F6">
                              <w:t xml:space="preserve"> liczby ludności w porównaniu z </w:t>
                            </w:r>
                            <w:r w:rsidR="003508CA" w:rsidRPr="008A03F6">
                              <w:t xml:space="preserve">wynikami </w:t>
                            </w:r>
                            <w:r w:rsidR="00567763" w:rsidRPr="008A03F6">
                              <w:t>NSP 201</w:t>
                            </w:r>
                            <w:r w:rsidR="00E27213" w:rsidRPr="008A03F6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87C6B1" id="_x0000_s1027" alt="Spadek liczby ludności w porównaniu z wynikami NSP 2011:  -0,4%&#10;&#10;" style="position:absolute;margin-left:0;margin-top:183.2pt;width:180.5pt;height:90.9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" fillcolor="#001d77" stroked="f">
                <v:stroke joinstyle="miter"/>
                <v:textbox>
                  <w:txbxContent>
                    <w:p w:rsidR="003D386A" w:rsidRPr="008A03F6" w:rsidRDefault="003D386A" w:rsidP="003D386A">
                      <w:pPr>
                        <w:spacing w:before="0" w:after="0" w:line="240" w:lineRule="auto"/>
                        <w:contextualSpacing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8A03F6">
                        <w:rPr>
                          <w:rFonts w:ascii="Fira Sans SemiBold" w:hAnsi="Fira Sans SemiBold"/>
                          <w:color w:val="66AFDE"/>
                          <w:sz w:val="60"/>
                          <w:szCs w:val="60"/>
                        </w:rPr>
                        <w:sym w:font="Wingdings" w:char="F0F2"/>
                      </w:r>
                      <w:r w:rsidRPr="008A03F6"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7B39EE" w:rsidRPr="008A03F6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0,4</w:t>
                      </w:r>
                      <w:r w:rsidRPr="008A03F6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%</w:t>
                      </w:r>
                    </w:p>
                    <w:p w:rsidR="006D4D5C" w:rsidRPr="007D605C" w:rsidRDefault="003D386A" w:rsidP="006D4D5C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8A03F6">
                        <w:t>Spadek</w:t>
                      </w:r>
                      <w:r w:rsidR="00567763" w:rsidRPr="008A03F6">
                        <w:t xml:space="preserve"> liczby ludności w porównaniu z </w:t>
                      </w:r>
                      <w:r w:rsidR="003508CA" w:rsidRPr="008A03F6">
                        <w:t xml:space="preserve">wynikami </w:t>
                      </w:r>
                      <w:r w:rsidR="00567763" w:rsidRPr="008A03F6">
                        <w:t>NSP 201</w:t>
                      </w:r>
                      <w:r w:rsidR="00E27213" w:rsidRPr="008A03F6">
                        <w:t>1</w:t>
                      </w:r>
                    </w:p>
                  </w:txbxContent>
                </v:textbox>
                <w10:wrap type="square" anchorx="margin" anchory="page"/>
              </v:roundrect>
            </w:pict>
          </mc:Fallback>
        </mc:AlternateContent>
      </w:r>
      <w:r w:rsidR="006D4D5C" w:rsidRPr="0008672C">
        <w:t>Stan i struktura demograficzna ludności oraz liczba budynków i mieszkań w województwie</w:t>
      </w:r>
      <w:r w:rsidR="00B959B9">
        <w:t xml:space="preserve"> dolnośląskim</w:t>
      </w:r>
      <w:r w:rsidR="006D4D5C" w:rsidRPr="0008672C">
        <w:t xml:space="preserve"> – wyniki ostateczne NSP 2021</w:t>
      </w:r>
    </w:p>
    <w:p w:rsidR="00393761" w:rsidRPr="007D605C" w:rsidRDefault="00393761" w:rsidP="00F049AB">
      <w:pPr>
        <w:pStyle w:val="Tytuinfomacjisygnalnej"/>
      </w:pPr>
    </w:p>
    <w:p w:rsidR="00E221E0" w:rsidRDefault="006D4D5C" w:rsidP="007032FE">
      <w:pPr>
        <w:pStyle w:val="Lead"/>
        <w:spacing w:line="240" w:lineRule="auto"/>
      </w:pPr>
      <w:r w:rsidRPr="008A03F6">
        <w:t>W</w:t>
      </w:r>
      <w:r w:rsidR="003508CA" w:rsidRPr="008A03F6">
        <w:t>edłu</w:t>
      </w:r>
      <w:r w:rsidRPr="008A03F6">
        <w:t xml:space="preserve">g ostatecznych wyników Narodowego Spisu Powszechnego </w:t>
      </w:r>
      <w:r w:rsidR="003508CA" w:rsidRPr="008A03F6">
        <w:t xml:space="preserve">Ludności i Mieszkań </w:t>
      </w:r>
      <w:r w:rsidR="00C207C9" w:rsidRPr="008A03F6">
        <w:t>2021</w:t>
      </w:r>
      <w:r w:rsidR="00E221E0" w:rsidRPr="008A03F6">
        <w:rPr>
          <w:color w:val="001D77"/>
        </w:rPr>
        <w:t xml:space="preserve"> p</w:t>
      </w:r>
      <w:r w:rsidR="00E221E0" w:rsidRPr="008A03F6">
        <w:t>opulacja w w</w:t>
      </w:r>
      <w:r w:rsidR="00B959B9" w:rsidRPr="008A03F6">
        <w:t>ojewództwie dolnośląskim liczyła 2904,9</w:t>
      </w:r>
      <w:r w:rsidR="00E221E0" w:rsidRPr="008A03F6">
        <w:t xml:space="preserve"> tys. osób. L</w:t>
      </w:r>
      <w:r w:rsidR="007B39EE" w:rsidRPr="008A03F6">
        <w:t>iczba ludności była mniejsza o 10,3 tys.</w:t>
      </w:r>
      <w:r w:rsidR="00E221E0" w:rsidRPr="008A03F6">
        <w:t xml:space="preserve"> w porównaniu z wynikami spisu </w:t>
      </w:r>
      <w:r w:rsidR="003508CA" w:rsidRPr="008A03F6">
        <w:t xml:space="preserve">z </w:t>
      </w:r>
      <w:r w:rsidR="00E221E0" w:rsidRPr="008A03F6">
        <w:t xml:space="preserve">2011 r. Na terenie województwa zlokalizowanych było </w:t>
      </w:r>
      <w:r w:rsidR="00DB621E" w:rsidRPr="008A03F6">
        <w:t>1260,4</w:t>
      </w:r>
      <w:r w:rsidR="00E221E0" w:rsidRPr="008A03F6">
        <w:t xml:space="preserve"> tys. mieszkań</w:t>
      </w:r>
      <w:r w:rsidR="000D5D87" w:rsidRPr="008A03F6">
        <w:t xml:space="preserve">, </w:t>
      </w:r>
      <w:r w:rsidR="0005491A" w:rsidRPr="008A03F6">
        <w:t xml:space="preserve">tj. </w:t>
      </w:r>
      <w:r w:rsidR="00E221E0" w:rsidRPr="008A03F6">
        <w:t xml:space="preserve">o </w:t>
      </w:r>
      <w:r w:rsidR="00DB621E" w:rsidRPr="008A03F6">
        <w:t>17,3</w:t>
      </w:r>
      <w:r w:rsidR="00110FC8" w:rsidRPr="008A03F6">
        <w:t>%</w:t>
      </w:r>
      <w:r w:rsidR="00E221E0" w:rsidRPr="008A03F6">
        <w:t xml:space="preserve"> </w:t>
      </w:r>
      <w:r w:rsidR="000D5D87" w:rsidRPr="008A03F6">
        <w:t xml:space="preserve">więcej </w:t>
      </w:r>
      <w:r w:rsidR="00E221E0" w:rsidRPr="008A03F6">
        <w:t>w</w:t>
      </w:r>
      <w:r w:rsidR="00E221E0" w:rsidRPr="001E548C">
        <w:t xml:space="preserve"> porównaniu z</w:t>
      </w:r>
      <w:r w:rsidR="008A03F6">
        <w:t xml:space="preserve"> </w:t>
      </w:r>
      <w:r w:rsidR="00110FC8" w:rsidRPr="001E548C">
        <w:t>wynikami spisu</w:t>
      </w:r>
      <w:r w:rsidR="00E221E0" w:rsidRPr="001E548C">
        <w:t xml:space="preserve"> z 2011 r.</w:t>
      </w:r>
    </w:p>
    <w:p w:rsidR="00E95B8E" w:rsidRDefault="004A6296" w:rsidP="00E95B8E">
      <w:pPr>
        <w:pStyle w:val="Nagwek1"/>
        <w:rPr>
          <w:rFonts w:ascii="Fira Sans" w:hAnsi="Fira Sans"/>
          <w:b/>
          <w:szCs w:val="19"/>
        </w:rPr>
      </w:pPr>
      <w:r>
        <w:rPr>
          <w:rFonts w:ascii="Fira Sans" w:hAnsi="Fira Sans"/>
          <w:b/>
          <w:szCs w:val="19"/>
        </w:rPr>
        <w:t xml:space="preserve">Stan i struktura demograficzna ludności </w:t>
      </w:r>
    </w:p>
    <w:bookmarkStart w:id="1" w:name="_Hlk110936620"/>
    <w:p w:rsidR="006D0F72" w:rsidRDefault="00DD611D" w:rsidP="00C440B4">
      <w:pPr>
        <w:spacing w:line="288" w:lineRule="auto"/>
        <w:rPr>
          <w:shd w:val="clear" w:color="auto" w:fill="FFFFFF"/>
        </w:rPr>
      </w:pPr>
      <w:r w:rsidRPr="008A03F6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4DF4E3E2" wp14:editId="46D730BD">
                <wp:simplePos x="0" y="0"/>
                <wp:positionH relativeFrom="column">
                  <wp:posOffset>5266055</wp:posOffset>
                </wp:positionH>
                <wp:positionV relativeFrom="page">
                  <wp:posOffset>4793615</wp:posOffset>
                </wp:positionV>
                <wp:extent cx="1725295" cy="636270"/>
                <wp:effectExtent l="0" t="0" r="0" b="0"/>
                <wp:wrapTight wrapText="bothSides">
                  <wp:wrapPolygon edited="0">
                    <wp:start x="715" y="0"/>
                    <wp:lineTo x="715" y="20695"/>
                    <wp:lineTo x="20749" y="20695"/>
                    <wp:lineTo x="20749" y="0"/>
                    <wp:lineTo x="715" y="0"/>
                  </wp:wrapPolygon>
                </wp:wrapTight>
                <wp:docPr id="13" name="Pole tekstowe 13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36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6634" w:rsidRPr="00E95B8E" w:rsidRDefault="00272AF5" w:rsidP="00935D17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8A03F6">
                              <w:t>Liczba ludności województwa zmniejszyła</w:t>
                            </w:r>
                            <w:r w:rsidR="007B39EE" w:rsidRPr="008A03F6">
                              <w:t xml:space="preserve"> się o 10,3 tys. (0,4%)</w:t>
                            </w:r>
                            <w:r w:rsidR="00570EB8" w:rsidRPr="008A03F6">
                              <w:t xml:space="preserve"> w ciągu dekady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4E3E2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8" type="#_x0000_t202" alt="Lorem ipsum dolor sit amet, consectetur adipiscing elit" style="position:absolute;margin-left:414.65pt;margin-top:377.45pt;width:135.85pt;height:50.1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" filled="f" stroked="f">
                <v:textbox>
                  <w:txbxContent>
                    <w:p w:rsidR="00216634" w:rsidRPr="00E95B8E" w:rsidRDefault="00272AF5" w:rsidP="00935D17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8A03F6">
                        <w:t>Liczba ludności województwa zmniejszyła</w:t>
                      </w:r>
                      <w:r w:rsidR="007B39EE" w:rsidRPr="008A03F6">
                        <w:t xml:space="preserve"> się o 10,3 tys. (0,4%)</w:t>
                      </w:r>
                      <w:r w:rsidR="00570EB8" w:rsidRPr="008A03F6">
                        <w:t xml:space="preserve"> w ciągu dekady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A03F6" w:rsidRPr="008A03F6">
        <w:rPr>
          <w:shd w:val="clear" w:color="auto" w:fill="FFFFFF"/>
        </w:rPr>
        <w:t xml:space="preserve">Według danych </w:t>
      </w:r>
      <w:r w:rsidR="008A03F6" w:rsidRPr="008A03F6">
        <w:t xml:space="preserve">Narodowego Spisu Powszechnego Ludności i Mieszkań, na dzień 31 marca 2021 r. ludność województwa dolnośląskiego wynosiła 2904,9 tys. i była o 0,4% (10,3 tys.) </w:t>
      </w:r>
      <w:r w:rsidR="008A03F6" w:rsidRPr="008A03F6">
        <w:rPr>
          <w:spacing w:val="4"/>
        </w:rPr>
        <w:t xml:space="preserve">niższa </w:t>
      </w:r>
      <w:r w:rsidR="008A03F6" w:rsidRPr="008A03F6">
        <w:rPr>
          <w:spacing w:val="-2"/>
        </w:rPr>
        <w:t>w porównaniu z wynikami spisu z 2011 r. (w Polsce zanotowano ubytek ludności o 1,2%).</w:t>
      </w:r>
      <w:r w:rsidR="008A03F6" w:rsidRPr="008A03F6">
        <w:rPr>
          <w:spacing w:val="4"/>
        </w:rPr>
        <w:t xml:space="preserve"> Miasta zamieszkiwało 1974,3 tys. osób (mniej o</w:t>
      </w:r>
      <w:r w:rsidR="008A03F6" w:rsidRPr="008A03F6">
        <w:t xml:space="preserve"> 3,1% - 63,4 tys. osób), </w:t>
      </w:r>
      <w:r w:rsidR="008A03F6" w:rsidRPr="008A03F6">
        <w:rPr>
          <w:spacing w:val="4"/>
        </w:rPr>
        <w:t>podczas gdy na wsi mieszkało 930,6 tys. osób (więcej o</w:t>
      </w:r>
      <w:r w:rsidR="008A03F6" w:rsidRPr="008A03F6">
        <w:t xml:space="preserve"> 6,1% - 53,1 tys. osób). </w:t>
      </w:r>
      <w:r w:rsidR="008A03F6" w:rsidRPr="008A03F6">
        <w:rPr>
          <w:spacing w:val="-4"/>
        </w:rPr>
        <w:t>Średnia gęstość zaludnienia wyniosła 146 osób na 1 km</w:t>
      </w:r>
      <w:r w:rsidR="008A03F6" w:rsidRPr="008A03F6">
        <w:rPr>
          <w:spacing w:val="-4"/>
          <w:vertAlign w:val="superscript"/>
        </w:rPr>
        <w:t>2</w:t>
      </w:r>
      <w:r w:rsidR="008A03F6" w:rsidRPr="008A03F6">
        <w:rPr>
          <w:spacing w:val="-4"/>
        </w:rPr>
        <w:t xml:space="preserve"> (tak samo jak w 2011 r., średnio w Polsce 122 osoby na 1 km</w:t>
      </w:r>
      <w:r w:rsidR="008A03F6" w:rsidRPr="008A03F6">
        <w:rPr>
          <w:spacing w:val="-4"/>
          <w:vertAlign w:val="superscript"/>
        </w:rPr>
        <w:t>2</w:t>
      </w:r>
      <w:r w:rsidR="008A03F6" w:rsidRPr="008A03F6">
        <w:rPr>
          <w:spacing w:val="-4"/>
        </w:rPr>
        <w:t>). W</w:t>
      </w:r>
      <w:r w:rsidR="008A03F6" w:rsidRPr="008A03F6">
        <w:t xml:space="preserve"> miastach gęstość kształtowała </w:t>
      </w:r>
      <w:r w:rsidR="008A03F6" w:rsidRPr="008A03F6">
        <w:rPr>
          <w:spacing w:val="4"/>
        </w:rPr>
        <w:t>się na poziomie 906 osób na 1 km</w:t>
      </w:r>
      <w:r w:rsidR="008A03F6" w:rsidRPr="008A03F6">
        <w:rPr>
          <w:spacing w:val="4"/>
          <w:vertAlign w:val="superscript"/>
        </w:rPr>
        <w:t>2</w:t>
      </w:r>
      <w:r w:rsidR="008A03F6" w:rsidRPr="008A03F6">
        <w:rPr>
          <w:spacing w:val="4"/>
        </w:rPr>
        <w:t xml:space="preserve"> (923 osoby w 2011 r.), a na wsi gęstość zaludnienia wyniosła 52 osoby na 1</w:t>
      </w:r>
      <w:r w:rsidR="008A03F6" w:rsidRPr="008A03F6">
        <w:t xml:space="preserve"> km</w:t>
      </w:r>
      <w:r w:rsidR="008A03F6" w:rsidRPr="008A03F6">
        <w:rPr>
          <w:vertAlign w:val="superscript"/>
        </w:rPr>
        <w:t>2</w:t>
      </w:r>
      <w:r w:rsidR="008A03F6" w:rsidRPr="008A03F6">
        <w:t xml:space="preserve"> (49 osób w 2011 r.). </w:t>
      </w:r>
      <w:r w:rsidR="008A03F6" w:rsidRPr="008A03F6">
        <w:rPr>
          <w:spacing w:val="4"/>
        </w:rPr>
        <w:t xml:space="preserve">Województwo dolnośląskie </w:t>
      </w:r>
      <w:r w:rsidR="008A03F6" w:rsidRPr="008A03F6">
        <w:rPr>
          <w:spacing w:val="-2"/>
        </w:rPr>
        <w:t>zamieszkiwało 1396,5 tys. mężczyzn i 1508,4 tys. kobiet (w 2011 r. odpowiednio</w:t>
      </w:r>
      <w:r w:rsidR="008A03F6" w:rsidRPr="008A03F6">
        <w:rPr>
          <w:spacing w:val="4"/>
        </w:rPr>
        <w:t xml:space="preserve"> </w:t>
      </w:r>
      <w:r w:rsidR="008A03F6" w:rsidRPr="008A03F6">
        <w:rPr>
          <w:spacing w:val="8"/>
        </w:rPr>
        <w:t>1402,5 tys.</w:t>
      </w:r>
      <w:r w:rsidR="008A03F6" w:rsidRPr="008A03F6">
        <w:rPr>
          <w:spacing w:val="4"/>
        </w:rPr>
        <w:t xml:space="preserve"> i 1512,8 tys.). Na 100 mężczyzn w</w:t>
      </w:r>
      <w:r w:rsidR="008A03F6" w:rsidRPr="008A03F6">
        <w:t xml:space="preserve"> województwie, podobnie jak w 2011 r., przypadało 108 kobiet (w kraju 107). Nadwyżka liczby mężczyzn nad liczbą kobiet występowała do 45 roku życia włącznie, w wyższych rocznikach występowała odwrotna relacja.</w:t>
      </w:r>
    </w:p>
    <w:p w:rsidR="006D0F72" w:rsidRPr="008A03F6" w:rsidRDefault="006D0F72" w:rsidP="00224070">
      <w:pPr>
        <w:spacing w:before="360"/>
        <w:rPr>
          <w:rFonts w:eastAsia="Fira Sans" w:cs="Fira Sans"/>
          <w:b/>
          <w:i/>
          <w:color w:val="7F7F7F" w:themeColor="text1" w:themeTint="80"/>
        </w:rPr>
      </w:pPr>
      <w:bookmarkStart w:id="2" w:name="_Hlk110936762"/>
      <w:bookmarkEnd w:id="1"/>
      <w:r w:rsidRPr="008A03F6">
        <w:rPr>
          <w:b/>
          <w:shd w:val="clear" w:color="auto" w:fill="FFFFFF"/>
        </w:rPr>
        <w:t>Tablica</w:t>
      </w:r>
      <w:r w:rsidR="004F3BB9" w:rsidRPr="008A03F6">
        <w:rPr>
          <w:b/>
          <w:shd w:val="clear" w:color="auto" w:fill="FFFFFF"/>
        </w:rPr>
        <w:t xml:space="preserve"> 1. </w:t>
      </w:r>
      <w:r w:rsidRPr="008A03F6">
        <w:rPr>
          <w:b/>
          <w:shd w:val="clear" w:color="auto" w:fill="FFFFFF"/>
        </w:rPr>
        <w:t xml:space="preserve"> </w:t>
      </w:r>
      <w:r w:rsidR="00717811" w:rsidRPr="008A03F6">
        <w:rPr>
          <w:b/>
          <w:shd w:val="clear" w:color="auto" w:fill="FFFFFF"/>
        </w:rPr>
        <w:t>Ludność wg miejsca zamieszkania i płci (stan w dniu 31 marca)</w:t>
      </w:r>
      <w:r w:rsidR="0005491A" w:rsidRPr="008A03F6">
        <w:rPr>
          <w:rFonts w:eastAsia="Fira Sans" w:cs="Fira Sans"/>
          <w:b/>
          <w:i/>
          <w:color w:val="7F7F7F" w:themeColor="text1" w:themeTint="80"/>
        </w:rPr>
        <w:t xml:space="preserve"> </w:t>
      </w:r>
    </w:p>
    <w:tbl>
      <w:tblPr>
        <w:tblW w:w="793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 Ludność wg miejsca zamieszkania i płci (stan w dniu 31 marca)"/>
        <w:tblDescription w:val="Podstawowe dane demograficzne z Narodowego Spisu Powszechnego z lat 2011 i 2021 dla ludności: ogółem, w miastach, na wsi, mężczyzn oraz kobiet."/>
      </w:tblPr>
      <w:tblGrid>
        <w:gridCol w:w="2268"/>
        <w:gridCol w:w="1133"/>
        <w:gridCol w:w="1133"/>
        <w:gridCol w:w="1133"/>
        <w:gridCol w:w="1133"/>
        <w:gridCol w:w="1133"/>
      </w:tblGrid>
      <w:tr w:rsidR="00E4741D" w:rsidRPr="004F3BB9" w:rsidTr="00E4741D">
        <w:trPr>
          <w:trHeight w:val="300"/>
        </w:trPr>
        <w:tc>
          <w:tcPr>
            <w:tcW w:w="2268" w:type="dxa"/>
            <w:vMerge w:val="restart"/>
            <w:tcBorders>
              <w:top w:val="single" w:sz="4" w:space="0" w:color="001D77"/>
              <w:bottom w:val="single" w:sz="8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6D0F72" w:rsidRPr="008A03F6" w:rsidRDefault="006D0F72" w:rsidP="00D427AC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2266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6D0F72" w:rsidRPr="008A03F6" w:rsidRDefault="006D0F72" w:rsidP="00D427AC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2011</w:t>
            </w:r>
          </w:p>
        </w:tc>
        <w:tc>
          <w:tcPr>
            <w:tcW w:w="3399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6D0F72" w:rsidRPr="008A03F6" w:rsidRDefault="006D0F72" w:rsidP="00D427AC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2021</w:t>
            </w:r>
          </w:p>
        </w:tc>
      </w:tr>
      <w:tr w:rsidR="00E4741D" w:rsidRPr="004F3BB9" w:rsidTr="00E4741D">
        <w:trPr>
          <w:trHeight w:val="300"/>
        </w:trPr>
        <w:tc>
          <w:tcPr>
            <w:tcW w:w="2268" w:type="dxa"/>
            <w:vMerge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6D0F72" w:rsidRPr="008A03F6" w:rsidRDefault="006D0F72" w:rsidP="00D427AC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6D0F72" w:rsidRPr="008A03F6" w:rsidRDefault="006D0F72" w:rsidP="00D427AC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w tys.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6D0F72" w:rsidRPr="008A03F6" w:rsidRDefault="006D0F72" w:rsidP="00D427AC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w %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6D0F72" w:rsidRPr="008A03F6" w:rsidRDefault="006D0F72" w:rsidP="00D427AC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w tys.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6D0F72" w:rsidRPr="008A03F6" w:rsidRDefault="006D0F72" w:rsidP="00D427AC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w %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6D0F72" w:rsidRPr="008A03F6" w:rsidRDefault="006D0F72" w:rsidP="00D427AC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2011=100</w:t>
            </w:r>
          </w:p>
        </w:tc>
      </w:tr>
      <w:tr w:rsidR="00E4741D" w:rsidRPr="004F3BB9" w:rsidTr="00E4741D">
        <w:trPr>
          <w:trHeight w:val="300"/>
        </w:trPr>
        <w:tc>
          <w:tcPr>
            <w:tcW w:w="226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6D0F72" w:rsidRPr="008A03F6" w:rsidRDefault="006D0F72" w:rsidP="00D427AC">
            <w:pPr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Ogółem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6D0F72" w:rsidRPr="008A03F6" w:rsidRDefault="006D0F72" w:rsidP="00D427AC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 </w:t>
            </w:r>
            <w:r w:rsidR="007B39EE"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2915,2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6D0F72" w:rsidRPr="008A03F6" w:rsidRDefault="006D0F72" w:rsidP="00D427AC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 </w:t>
            </w:r>
            <w:r w:rsidR="007B39EE"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100,0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6D0F72" w:rsidRPr="008A03F6" w:rsidRDefault="006D0F72" w:rsidP="00D427AC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 </w:t>
            </w:r>
            <w:r w:rsidR="007B39EE"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2904,9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6D0F72" w:rsidRPr="008A03F6" w:rsidRDefault="006D0F72" w:rsidP="00D427AC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 </w:t>
            </w:r>
            <w:r w:rsidR="007B39EE"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100,0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6D0F72" w:rsidRPr="008A03F6" w:rsidRDefault="006D0F72" w:rsidP="00D427AC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 </w:t>
            </w:r>
            <w:r w:rsidR="007B39EE"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99,6</w:t>
            </w:r>
          </w:p>
        </w:tc>
      </w:tr>
      <w:tr w:rsidR="00E4741D" w:rsidRPr="004F3BB9" w:rsidTr="00E4741D">
        <w:trPr>
          <w:trHeight w:val="300"/>
        </w:trPr>
        <w:tc>
          <w:tcPr>
            <w:tcW w:w="226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05491A" w:rsidRPr="008A03F6" w:rsidRDefault="0098721D" w:rsidP="00D427AC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 xml:space="preserve">    </w:t>
            </w:r>
            <w:r w:rsidR="00A75E90"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Miasta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6D0F72" w:rsidRPr="008A03F6" w:rsidRDefault="006D0F72" w:rsidP="00D427AC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 </w:t>
            </w:r>
            <w:r w:rsidR="007A7347"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2037,7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6D0F72" w:rsidRPr="008A03F6" w:rsidRDefault="006D0F72" w:rsidP="00D427AC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 </w:t>
            </w:r>
            <w:r w:rsidR="004F3BB9"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69,9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6D0F72" w:rsidRPr="008A03F6" w:rsidRDefault="006D0F72" w:rsidP="00D427AC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 </w:t>
            </w:r>
            <w:r w:rsidR="004F3BB9"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1974,3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6D0F72" w:rsidRPr="008A03F6" w:rsidRDefault="006D0F72" w:rsidP="00D427AC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 </w:t>
            </w:r>
            <w:r w:rsidR="004F3BB9"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68,0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6D0F72" w:rsidRPr="008A03F6" w:rsidRDefault="006D0F72" w:rsidP="00D427AC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 </w:t>
            </w:r>
            <w:r w:rsidR="004F3BB9"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96,9</w:t>
            </w:r>
          </w:p>
        </w:tc>
      </w:tr>
      <w:tr w:rsidR="00E4741D" w:rsidRPr="004F3BB9" w:rsidTr="00E4741D">
        <w:trPr>
          <w:trHeight w:val="300"/>
        </w:trPr>
        <w:tc>
          <w:tcPr>
            <w:tcW w:w="226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05491A" w:rsidRPr="008A03F6" w:rsidRDefault="0098721D" w:rsidP="00D427AC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 xml:space="preserve">    </w:t>
            </w:r>
            <w:r w:rsidR="00A75E90"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Wieś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6D0F72" w:rsidRPr="008A03F6" w:rsidRDefault="006D0F72" w:rsidP="00D427AC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 </w:t>
            </w:r>
            <w:r w:rsidR="007A7347"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877,5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6D0F72" w:rsidRPr="008A03F6" w:rsidRDefault="006D0F72" w:rsidP="00D427AC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 </w:t>
            </w:r>
            <w:r w:rsidR="004F3BB9"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30,1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6D0F72" w:rsidRPr="008A03F6" w:rsidRDefault="006D0F72" w:rsidP="00D427AC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 </w:t>
            </w:r>
            <w:r w:rsidR="004F3BB9"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930,6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6D0F72" w:rsidRPr="008A03F6" w:rsidRDefault="006D0F72" w:rsidP="00D427AC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 </w:t>
            </w:r>
            <w:r w:rsidR="004F3BB9"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32,0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6D0F72" w:rsidRPr="008A03F6" w:rsidRDefault="006D0F72" w:rsidP="00D427AC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 </w:t>
            </w:r>
            <w:r w:rsidR="004F3BB9"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106,1</w:t>
            </w:r>
          </w:p>
        </w:tc>
      </w:tr>
      <w:tr w:rsidR="00E4741D" w:rsidRPr="004F3BB9" w:rsidTr="00E4741D">
        <w:trPr>
          <w:trHeight w:val="600"/>
        </w:trPr>
        <w:tc>
          <w:tcPr>
            <w:tcW w:w="226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:rsidR="007B39EE" w:rsidRPr="008A03F6" w:rsidRDefault="007B39EE" w:rsidP="00D427AC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Mężczyźni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:rsidR="007B39EE" w:rsidRPr="008A03F6" w:rsidRDefault="007A7347" w:rsidP="00D427AC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1402,5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:rsidR="007B39EE" w:rsidRPr="008A03F6" w:rsidRDefault="004F3BB9" w:rsidP="00D427AC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48,1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:rsidR="007B39EE" w:rsidRPr="008A03F6" w:rsidRDefault="007A7347" w:rsidP="00D427AC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1396,5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:rsidR="007B39EE" w:rsidRPr="008A03F6" w:rsidRDefault="004F3BB9" w:rsidP="00D427AC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48,1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:rsidR="007B39EE" w:rsidRPr="008A03F6" w:rsidRDefault="004F3BB9" w:rsidP="00D427AC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99,6</w:t>
            </w:r>
          </w:p>
        </w:tc>
      </w:tr>
      <w:tr w:rsidR="00E4741D" w:rsidRPr="006D0F72" w:rsidTr="00E4741D">
        <w:trPr>
          <w:trHeight w:val="600"/>
        </w:trPr>
        <w:tc>
          <w:tcPr>
            <w:tcW w:w="2268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:rsidR="007B39EE" w:rsidRPr="008A03F6" w:rsidRDefault="007B39EE" w:rsidP="00D427AC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Kobiety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:rsidR="007B39EE" w:rsidRPr="008A03F6" w:rsidRDefault="007A7347" w:rsidP="00D427AC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1512,8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:rsidR="007B39EE" w:rsidRPr="008A03F6" w:rsidRDefault="004F3BB9" w:rsidP="00D427AC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51,9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:rsidR="007B39EE" w:rsidRPr="008A03F6" w:rsidRDefault="007A7347" w:rsidP="00D427AC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1508,4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:rsidR="007B39EE" w:rsidRPr="008A03F6" w:rsidRDefault="004F3BB9" w:rsidP="00D427AC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51,9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noWrap/>
            <w:vAlign w:val="bottom"/>
          </w:tcPr>
          <w:p w:rsidR="007B39EE" w:rsidRPr="008A03F6" w:rsidRDefault="004F3BB9" w:rsidP="00D427AC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A03F6">
              <w:rPr>
                <w:rFonts w:eastAsia="Times New Roman" w:cs="Calibri"/>
                <w:color w:val="000000"/>
                <w:szCs w:val="19"/>
                <w:lang w:eastAsia="pl-PL"/>
              </w:rPr>
              <w:t>99,7</w:t>
            </w:r>
          </w:p>
        </w:tc>
      </w:tr>
    </w:tbl>
    <w:p w:rsidR="001078A4" w:rsidRDefault="001078A4" w:rsidP="00A75E90">
      <w:pPr>
        <w:rPr>
          <w:rFonts w:eastAsia="Fira Sans" w:cs="Fira Sans"/>
          <w:i/>
          <w:color w:val="7F7F7F" w:themeColor="text1" w:themeTint="80"/>
        </w:rPr>
      </w:pPr>
      <w:bookmarkStart w:id="3" w:name="_Hlk110419682"/>
      <w:bookmarkEnd w:id="2"/>
    </w:p>
    <w:p w:rsidR="007032FE" w:rsidRDefault="007032FE" w:rsidP="00A75E90">
      <w:pPr>
        <w:rPr>
          <w:rFonts w:eastAsia="Fira Sans" w:cs="Fira Sans"/>
          <w:i/>
          <w:color w:val="7F7F7F" w:themeColor="text1" w:themeTint="80"/>
        </w:rPr>
      </w:pPr>
    </w:p>
    <w:p w:rsidR="00E8768A" w:rsidRPr="00F417DC" w:rsidRDefault="00E8768A" w:rsidP="00E8768A">
      <w:pPr>
        <w:rPr>
          <w:b/>
          <w:shd w:val="clear" w:color="auto" w:fill="FFFFFF"/>
        </w:rPr>
      </w:pPr>
      <w:r w:rsidRPr="00F417DC">
        <w:rPr>
          <w:b/>
          <w:shd w:val="clear" w:color="auto" w:fill="FFFFFF"/>
        </w:rPr>
        <w:lastRenderedPageBreak/>
        <w:t xml:space="preserve">Wykres 1. Ludność według płci i wieku </w:t>
      </w:r>
      <w:r w:rsidR="005C6BC1">
        <w:rPr>
          <w:b/>
          <w:shd w:val="clear" w:color="auto" w:fill="FFFFFF"/>
        </w:rPr>
        <w:t xml:space="preserve">w 2021 r. </w:t>
      </w:r>
      <w:r w:rsidRPr="00F417DC">
        <w:rPr>
          <w:b/>
          <w:shd w:val="clear" w:color="auto" w:fill="FFFFFF"/>
        </w:rPr>
        <w:t>(stan w dniu 31 marca)</w:t>
      </w:r>
    </w:p>
    <w:p w:rsidR="00DA37A0" w:rsidRDefault="00DA37A0" w:rsidP="00E8768A">
      <w:pPr>
        <w:rPr>
          <w:shd w:val="clear" w:color="auto" w:fill="FFFFFF"/>
        </w:rPr>
      </w:pPr>
    </w:p>
    <w:p w:rsidR="00DA37A0" w:rsidRDefault="00DA37A0" w:rsidP="00E8768A">
      <w:pPr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1005</wp:posOffset>
            </wp:positionH>
            <wp:positionV relativeFrom="paragraph">
              <wp:posOffset>6350</wp:posOffset>
            </wp:positionV>
            <wp:extent cx="5120535" cy="5323840"/>
            <wp:effectExtent l="0" t="0" r="4445" b="0"/>
            <wp:wrapNone/>
            <wp:docPr id="18" name="Obraz 18" descr="Wykres słupkowy, poziomy (tzw. piramida wieku) przedstawia liczbę kobiet i mężczyzn według wieku. Dodatkowo kolorami wyróżniono 3 grupy wieku: wiek przeprodukcyjny, produkcyjny i poprodukcyjny oraz nadwyżkę liczby mężczyzn nad kobietami lub kobiet nad mężczyznami. Linią oznaczono liczbę ludności w 2011 r. Dane do wykresu dostępne są w załączonym pliku Excel." title="Wykres 1. Ludność według płci i wieku (stan w dniu 31 mar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1.w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535" cy="532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7A0" w:rsidRDefault="00DA37A0" w:rsidP="00E8768A">
      <w:pPr>
        <w:rPr>
          <w:shd w:val="clear" w:color="auto" w:fill="FFFFFF"/>
        </w:rPr>
      </w:pPr>
    </w:p>
    <w:p w:rsidR="00DA37A0" w:rsidRDefault="00DA37A0" w:rsidP="00E8768A">
      <w:pPr>
        <w:rPr>
          <w:shd w:val="clear" w:color="auto" w:fill="FFFFFF"/>
        </w:rPr>
      </w:pPr>
    </w:p>
    <w:p w:rsidR="00DA37A0" w:rsidRDefault="00DA37A0" w:rsidP="00E8768A">
      <w:pPr>
        <w:rPr>
          <w:shd w:val="clear" w:color="auto" w:fill="FFFFFF"/>
        </w:rPr>
      </w:pPr>
    </w:p>
    <w:p w:rsidR="00DA37A0" w:rsidRDefault="00DA37A0" w:rsidP="00E8768A">
      <w:pPr>
        <w:rPr>
          <w:shd w:val="clear" w:color="auto" w:fill="FFFFFF"/>
        </w:rPr>
      </w:pPr>
    </w:p>
    <w:p w:rsidR="00DA37A0" w:rsidRDefault="00DA37A0" w:rsidP="00E8768A">
      <w:pPr>
        <w:rPr>
          <w:shd w:val="clear" w:color="auto" w:fill="FFFFFF"/>
        </w:rPr>
      </w:pPr>
    </w:p>
    <w:p w:rsidR="00DA37A0" w:rsidRDefault="00DA37A0" w:rsidP="00E8768A">
      <w:pPr>
        <w:rPr>
          <w:shd w:val="clear" w:color="auto" w:fill="FFFFFF"/>
        </w:rPr>
      </w:pPr>
    </w:p>
    <w:p w:rsidR="00DA37A0" w:rsidRDefault="00DA37A0" w:rsidP="00E8768A">
      <w:pPr>
        <w:rPr>
          <w:shd w:val="clear" w:color="auto" w:fill="FFFFFF"/>
        </w:rPr>
      </w:pPr>
    </w:p>
    <w:p w:rsidR="00DA37A0" w:rsidRDefault="00DA37A0" w:rsidP="00E8768A">
      <w:pPr>
        <w:rPr>
          <w:shd w:val="clear" w:color="auto" w:fill="FFFFFF"/>
        </w:rPr>
      </w:pPr>
    </w:p>
    <w:p w:rsidR="00DA37A0" w:rsidRDefault="00DA37A0" w:rsidP="00E8768A">
      <w:pPr>
        <w:rPr>
          <w:shd w:val="clear" w:color="auto" w:fill="FFFFFF"/>
        </w:rPr>
      </w:pPr>
    </w:p>
    <w:p w:rsidR="00DA37A0" w:rsidRDefault="00DA37A0" w:rsidP="00E8768A">
      <w:pPr>
        <w:rPr>
          <w:shd w:val="clear" w:color="auto" w:fill="FFFFFF"/>
        </w:rPr>
      </w:pPr>
    </w:p>
    <w:p w:rsidR="00DA37A0" w:rsidRDefault="00DA37A0" w:rsidP="00E8768A">
      <w:pPr>
        <w:rPr>
          <w:shd w:val="clear" w:color="auto" w:fill="FFFFFF"/>
        </w:rPr>
      </w:pPr>
    </w:p>
    <w:p w:rsidR="00DA37A0" w:rsidRDefault="00DA37A0" w:rsidP="00E8768A">
      <w:pPr>
        <w:rPr>
          <w:shd w:val="clear" w:color="auto" w:fill="FFFFFF"/>
        </w:rPr>
      </w:pPr>
    </w:p>
    <w:p w:rsidR="00DA37A0" w:rsidRDefault="00DA37A0" w:rsidP="00E8768A">
      <w:pPr>
        <w:rPr>
          <w:shd w:val="clear" w:color="auto" w:fill="FFFFFF"/>
        </w:rPr>
      </w:pPr>
    </w:p>
    <w:p w:rsidR="00DA37A0" w:rsidRDefault="00DA37A0" w:rsidP="00E8768A">
      <w:pPr>
        <w:rPr>
          <w:shd w:val="clear" w:color="auto" w:fill="FFFFFF"/>
        </w:rPr>
      </w:pPr>
    </w:p>
    <w:p w:rsidR="00DA37A0" w:rsidRDefault="00DA37A0" w:rsidP="00E8768A">
      <w:pPr>
        <w:rPr>
          <w:shd w:val="clear" w:color="auto" w:fill="FFFFFF"/>
        </w:rPr>
      </w:pPr>
    </w:p>
    <w:p w:rsidR="00DA37A0" w:rsidRDefault="00DA37A0" w:rsidP="00E8768A">
      <w:pPr>
        <w:rPr>
          <w:shd w:val="clear" w:color="auto" w:fill="FFFFFF"/>
        </w:rPr>
      </w:pPr>
    </w:p>
    <w:p w:rsidR="00DA37A0" w:rsidRDefault="00DA37A0" w:rsidP="00E8768A">
      <w:pPr>
        <w:rPr>
          <w:shd w:val="clear" w:color="auto" w:fill="FFFFFF"/>
        </w:rPr>
      </w:pPr>
    </w:p>
    <w:p w:rsidR="00DA37A0" w:rsidRDefault="00DA37A0" w:rsidP="00E8768A">
      <w:pPr>
        <w:rPr>
          <w:shd w:val="clear" w:color="auto" w:fill="FFFFFF"/>
        </w:rPr>
      </w:pPr>
    </w:p>
    <w:p w:rsidR="00DA37A0" w:rsidRPr="00A652BF" w:rsidRDefault="00DA37A0" w:rsidP="00E8768A">
      <w:pPr>
        <w:rPr>
          <w:rFonts w:eastAsia="Fira Sans" w:cs="Fira Sans"/>
          <w:i/>
          <w:color w:val="7F7F7F" w:themeColor="text1" w:themeTint="80"/>
        </w:rPr>
      </w:pPr>
    </w:p>
    <w:p w:rsidR="00DA37A0" w:rsidRDefault="00DA37A0" w:rsidP="00C440B4">
      <w:pPr>
        <w:spacing w:line="288" w:lineRule="auto"/>
        <w:rPr>
          <w:highlight w:val="yellow"/>
          <w:shd w:val="clear" w:color="auto" w:fill="FFFFFF"/>
        </w:rPr>
      </w:pPr>
    </w:p>
    <w:p w:rsidR="00DA37A0" w:rsidRDefault="00DA37A0" w:rsidP="00C440B4">
      <w:pPr>
        <w:spacing w:line="288" w:lineRule="auto"/>
        <w:rPr>
          <w:highlight w:val="yellow"/>
          <w:shd w:val="clear" w:color="auto" w:fill="FFFFFF"/>
        </w:rPr>
      </w:pPr>
    </w:p>
    <w:p w:rsidR="00DA37A0" w:rsidRDefault="00DA37A0" w:rsidP="00C440B4">
      <w:pPr>
        <w:spacing w:line="288" w:lineRule="auto"/>
        <w:rPr>
          <w:highlight w:val="yellow"/>
          <w:shd w:val="clear" w:color="auto" w:fill="FFFFFF"/>
        </w:rPr>
      </w:pPr>
    </w:p>
    <w:p w:rsidR="00DA37A0" w:rsidRDefault="0048430F" w:rsidP="00C440B4">
      <w:pPr>
        <w:spacing w:line="288" w:lineRule="auto"/>
        <w:rPr>
          <w:highlight w:val="yellow"/>
          <w:shd w:val="clear" w:color="auto" w:fill="FFFFFF"/>
        </w:rPr>
      </w:pPr>
      <w:r w:rsidRPr="008A03F6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77BC14F4" wp14:editId="057CCF9A">
                <wp:simplePos x="0" y="0"/>
                <wp:positionH relativeFrom="column">
                  <wp:posOffset>5314950</wp:posOffset>
                </wp:positionH>
                <wp:positionV relativeFrom="page">
                  <wp:posOffset>6705600</wp:posOffset>
                </wp:positionV>
                <wp:extent cx="1725295" cy="800100"/>
                <wp:effectExtent l="0" t="0" r="0" b="0"/>
                <wp:wrapTight wrapText="bothSides">
                  <wp:wrapPolygon edited="0">
                    <wp:start x="715" y="0"/>
                    <wp:lineTo x="715" y="21086"/>
                    <wp:lineTo x="20749" y="21086"/>
                    <wp:lineTo x="20749" y="0"/>
                    <wp:lineTo x="715" y="0"/>
                  </wp:wrapPolygon>
                </wp:wrapTight>
                <wp:docPr id="5" name="Pole tekstowe 5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30F" w:rsidRPr="00E95B8E" w:rsidRDefault="001419E5" w:rsidP="0048430F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gminie Czernica od</w:t>
                            </w:r>
                            <w:r w:rsidR="0048430F">
                              <w:t>notowano 3. najwyższy wzrost liczby ludności spośród wszystkich gmin w Polsce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BC14F4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9" type="#_x0000_t202" alt="Lorem ipsum dolor sit amet, consectetur adipiscing elit" style="position:absolute;margin-left:418.5pt;margin-top:528pt;width:135.85pt;height:63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" filled="f" stroked="f">
                <v:textbox>
                  <w:txbxContent>
                    <w:p w:rsidR="0048430F" w:rsidRPr="00E95B8E" w:rsidRDefault="001419E5" w:rsidP="0048430F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W gminie Czernica od</w:t>
                      </w:r>
                      <w:r w:rsidR="0048430F">
                        <w:t>notowano 3. najwyższy wzrost liczby ludności spośród wszystkich gmin w Polsce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:rsidR="00DA37A0" w:rsidRDefault="00717811" w:rsidP="00C440B4">
      <w:pPr>
        <w:spacing w:line="288" w:lineRule="auto"/>
        <w:rPr>
          <w:shd w:val="clear" w:color="auto" w:fill="FFFFFF"/>
        </w:rPr>
      </w:pPr>
      <w:r w:rsidRPr="008A03F6">
        <w:rPr>
          <w:shd w:val="clear" w:color="auto" w:fill="FFFFFF"/>
        </w:rPr>
        <w:t>W 43 spośród 169 gmin województwa dolnośląskiego, w stosunku do wyników spisu z 2011 r., odnotowano wzrost liczby ludności - największy w: Czernicy (o 79,1%</w:t>
      </w:r>
      <w:r w:rsidR="001419E5">
        <w:rPr>
          <w:shd w:val="clear" w:color="auto" w:fill="FFFFFF"/>
        </w:rPr>
        <w:t xml:space="preserve"> </w:t>
      </w:r>
      <w:r w:rsidRPr="008A03F6">
        <w:rPr>
          <w:shd w:val="clear" w:color="auto" w:fill="FFFFFF"/>
        </w:rPr>
        <w:t xml:space="preserve">– był to 3. najwyższy wynik w kraju), Długołęce i Siechnicach (po 70,0%) oraz Miękini (48,6%). W 125 gminach liczba </w:t>
      </w:r>
      <w:r w:rsidRPr="008A03F6">
        <w:rPr>
          <w:spacing w:val="2"/>
          <w:shd w:val="clear" w:color="auto" w:fill="FFFFFF"/>
        </w:rPr>
        <w:t>ludności zmniejszyła się – najbardziej w: Dusznikach-Zdroju (o 15,7%), Szklarskiej Porębie</w:t>
      </w:r>
      <w:r w:rsidRPr="008A03F6">
        <w:rPr>
          <w:spacing w:val="4"/>
          <w:shd w:val="clear" w:color="auto" w:fill="FFFFFF"/>
        </w:rPr>
        <w:t xml:space="preserve"> (o 15,3%) i Mieroszowie (o 13,7%).</w:t>
      </w:r>
      <w:r w:rsidRPr="008A03F6">
        <w:rPr>
          <w:shd w:val="clear" w:color="auto" w:fill="FFFFFF"/>
        </w:rPr>
        <w:t xml:space="preserve"> W gminie Lubań liczba ludności nie zmieniła się</w:t>
      </w:r>
      <w:r w:rsidR="00701AB6">
        <w:rPr>
          <w:shd w:val="clear" w:color="auto" w:fill="FFFFFF"/>
        </w:rPr>
        <w:t xml:space="preserve">. </w:t>
      </w:r>
    </w:p>
    <w:p w:rsidR="00DA37A0" w:rsidRDefault="00DA37A0" w:rsidP="00C440B4">
      <w:pPr>
        <w:spacing w:line="288" w:lineRule="auto"/>
        <w:rPr>
          <w:shd w:val="clear" w:color="auto" w:fill="FFFFFF"/>
        </w:rPr>
      </w:pPr>
    </w:p>
    <w:p w:rsidR="00DA37A0" w:rsidRDefault="00DA37A0" w:rsidP="00C440B4">
      <w:pPr>
        <w:spacing w:line="288" w:lineRule="auto"/>
        <w:rPr>
          <w:shd w:val="clear" w:color="auto" w:fill="FFFFFF"/>
        </w:rPr>
      </w:pPr>
    </w:p>
    <w:p w:rsidR="00DA37A0" w:rsidRDefault="00DA37A0" w:rsidP="00C440B4">
      <w:pPr>
        <w:spacing w:line="288" w:lineRule="auto"/>
        <w:rPr>
          <w:shd w:val="clear" w:color="auto" w:fill="FFFFFF"/>
        </w:rPr>
      </w:pPr>
    </w:p>
    <w:p w:rsidR="00701AB6" w:rsidRDefault="00701AB6" w:rsidP="00C440B4">
      <w:pPr>
        <w:spacing w:line="288" w:lineRule="auto"/>
        <w:rPr>
          <w:shd w:val="clear" w:color="auto" w:fill="FFFFFF"/>
        </w:rPr>
      </w:pPr>
    </w:p>
    <w:p w:rsidR="00701AB6" w:rsidRDefault="00701AB6" w:rsidP="00C440B4">
      <w:pPr>
        <w:spacing w:line="288" w:lineRule="auto"/>
        <w:rPr>
          <w:shd w:val="clear" w:color="auto" w:fill="FFFFFF"/>
        </w:rPr>
      </w:pPr>
    </w:p>
    <w:p w:rsidR="00701AB6" w:rsidRDefault="00701AB6" w:rsidP="00C440B4">
      <w:pPr>
        <w:spacing w:line="288" w:lineRule="auto"/>
        <w:rPr>
          <w:shd w:val="clear" w:color="auto" w:fill="FFFFFF"/>
        </w:rPr>
      </w:pPr>
    </w:p>
    <w:p w:rsidR="00701AB6" w:rsidRDefault="00701AB6" w:rsidP="00C440B4">
      <w:pPr>
        <w:spacing w:line="288" w:lineRule="auto"/>
        <w:rPr>
          <w:shd w:val="clear" w:color="auto" w:fill="FFFFFF"/>
        </w:rPr>
      </w:pPr>
    </w:p>
    <w:p w:rsidR="00701AB6" w:rsidRDefault="00701AB6" w:rsidP="00C440B4">
      <w:pPr>
        <w:spacing w:line="288" w:lineRule="auto"/>
        <w:rPr>
          <w:shd w:val="clear" w:color="auto" w:fill="FFFFFF"/>
        </w:rPr>
      </w:pPr>
    </w:p>
    <w:p w:rsidR="00DA37A0" w:rsidRDefault="00DA37A0" w:rsidP="00C440B4">
      <w:pPr>
        <w:spacing w:line="288" w:lineRule="auto"/>
        <w:rPr>
          <w:shd w:val="clear" w:color="auto" w:fill="FFFFFF"/>
        </w:rPr>
      </w:pPr>
    </w:p>
    <w:p w:rsidR="00DA37A0" w:rsidRDefault="00DA37A0" w:rsidP="00C440B4">
      <w:pPr>
        <w:spacing w:line="288" w:lineRule="auto"/>
      </w:pPr>
    </w:p>
    <w:p w:rsidR="00A0554D" w:rsidRPr="00F417DC" w:rsidRDefault="00E8768A" w:rsidP="00A75E90">
      <w:pPr>
        <w:rPr>
          <w:rFonts w:eastAsia="Fira Sans" w:cs="Fira Sans"/>
          <w:b/>
          <w:color w:val="000000" w:themeColor="text1"/>
        </w:rPr>
      </w:pPr>
      <w:r w:rsidRPr="00F417DC">
        <w:rPr>
          <w:rFonts w:eastAsia="Fira Sans" w:cs="Fira Sans"/>
          <w:b/>
          <w:color w:val="000000" w:themeColor="text1"/>
        </w:rPr>
        <w:lastRenderedPageBreak/>
        <w:t>Mapa 1. Zmiana liczby ludności w latach 2011-2021</w:t>
      </w:r>
    </w:p>
    <w:p w:rsidR="00DA37A0" w:rsidRDefault="002B0B28" w:rsidP="00A75E90">
      <w:pPr>
        <w:rPr>
          <w:rFonts w:eastAsia="Fira Sans" w:cs="Fira Sans"/>
          <w:color w:val="000000" w:themeColor="text1"/>
        </w:rPr>
      </w:pPr>
      <w:r>
        <w:rPr>
          <w:rFonts w:eastAsia="Fira Sans" w:cs="Fira Sans"/>
          <w:noProof/>
          <w:color w:val="000000" w:themeColor="text1"/>
          <w:lang w:eastAsia="pl-PL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73103</wp:posOffset>
            </wp:positionV>
            <wp:extent cx="5122545" cy="3995264"/>
            <wp:effectExtent l="0" t="0" r="0" b="5715"/>
            <wp:wrapNone/>
            <wp:docPr id="26" name="Obraz 26" descr="Na mapie zaprezentowano zmianę liczby ludności w latach 2011-2021, w poszczególnych gminach (8 klas natężenia koloru). Dane do mapy dostępne są w załączonym pliku Excel." title="Mapa 1. Zmiana liczby ludności w latach 2011-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1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995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7A0" w:rsidRDefault="00DA37A0" w:rsidP="00A75E90">
      <w:pPr>
        <w:rPr>
          <w:rFonts w:eastAsia="Fira Sans" w:cs="Fira Sans"/>
          <w:color w:val="000000" w:themeColor="text1"/>
        </w:rPr>
      </w:pPr>
    </w:p>
    <w:p w:rsidR="00DA37A0" w:rsidRDefault="00DA37A0" w:rsidP="00A75E90">
      <w:pPr>
        <w:rPr>
          <w:rFonts w:eastAsia="Fira Sans" w:cs="Fira Sans"/>
          <w:color w:val="000000" w:themeColor="text1"/>
        </w:rPr>
      </w:pPr>
    </w:p>
    <w:p w:rsidR="00DA37A0" w:rsidRDefault="00DA37A0" w:rsidP="00A75E90">
      <w:pPr>
        <w:rPr>
          <w:rFonts w:eastAsia="Fira Sans" w:cs="Fira Sans"/>
          <w:color w:val="000000" w:themeColor="text1"/>
        </w:rPr>
      </w:pPr>
    </w:p>
    <w:p w:rsidR="00DA37A0" w:rsidRDefault="00DA37A0" w:rsidP="00A75E90">
      <w:pPr>
        <w:rPr>
          <w:rFonts w:eastAsia="Fira Sans" w:cs="Fira Sans"/>
          <w:color w:val="000000" w:themeColor="text1"/>
        </w:rPr>
      </w:pPr>
    </w:p>
    <w:p w:rsidR="00DA37A0" w:rsidRDefault="00DA37A0" w:rsidP="00A75E90">
      <w:pPr>
        <w:rPr>
          <w:rFonts w:eastAsia="Fira Sans" w:cs="Fira Sans"/>
          <w:color w:val="000000" w:themeColor="text1"/>
        </w:rPr>
      </w:pPr>
    </w:p>
    <w:p w:rsidR="00DA37A0" w:rsidRDefault="00DA37A0" w:rsidP="00A75E90">
      <w:pPr>
        <w:rPr>
          <w:rFonts w:eastAsia="Fira Sans" w:cs="Fira Sans"/>
          <w:color w:val="000000" w:themeColor="text1"/>
        </w:rPr>
      </w:pPr>
    </w:p>
    <w:p w:rsidR="00DA37A0" w:rsidRDefault="00DA37A0" w:rsidP="00A75E90">
      <w:pPr>
        <w:rPr>
          <w:rFonts w:eastAsia="Fira Sans" w:cs="Fira Sans"/>
          <w:color w:val="000000" w:themeColor="text1"/>
        </w:rPr>
      </w:pPr>
    </w:p>
    <w:p w:rsidR="00DA37A0" w:rsidRDefault="00DA37A0" w:rsidP="00A75E90">
      <w:pPr>
        <w:rPr>
          <w:rFonts w:eastAsia="Fira Sans" w:cs="Fira Sans"/>
          <w:color w:val="000000" w:themeColor="text1"/>
        </w:rPr>
      </w:pPr>
    </w:p>
    <w:p w:rsidR="00DA37A0" w:rsidRDefault="00DA37A0" w:rsidP="00A75E90">
      <w:pPr>
        <w:rPr>
          <w:rFonts w:eastAsia="Fira Sans" w:cs="Fira Sans"/>
          <w:color w:val="000000" w:themeColor="text1"/>
        </w:rPr>
      </w:pPr>
    </w:p>
    <w:p w:rsidR="00DA37A0" w:rsidRDefault="00DA37A0" w:rsidP="00A75E90">
      <w:pPr>
        <w:rPr>
          <w:rFonts w:eastAsia="Fira Sans" w:cs="Fira Sans"/>
          <w:color w:val="000000" w:themeColor="text1"/>
        </w:rPr>
      </w:pPr>
    </w:p>
    <w:p w:rsidR="00DA37A0" w:rsidRDefault="00DA37A0" w:rsidP="00A75E90">
      <w:pPr>
        <w:rPr>
          <w:rFonts w:eastAsia="Fira Sans" w:cs="Fira Sans"/>
          <w:color w:val="000000" w:themeColor="text1"/>
        </w:rPr>
      </w:pPr>
    </w:p>
    <w:p w:rsidR="00DA37A0" w:rsidRDefault="00DA37A0" w:rsidP="00A75E90">
      <w:pPr>
        <w:rPr>
          <w:rFonts w:eastAsia="Fira Sans" w:cs="Fira Sans"/>
          <w:color w:val="000000" w:themeColor="text1"/>
        </w:rPr>
      </w:pPr>
    </w:p>
    <w:p w:rsidR="00DA37A0" w:rsidRDefault="00DA37A0" w:rsidP="00A75E90">
      <w:pPr>
        <w:rPr>
          <w:rFonts w:eastAsia="Fira Sans" w:cs="Fira Sans"/>
          <w:color w:val="000000" w:themeColor="text1"/>
        </w:rPr>
      </w:pPr>
    </w:p>
    <w:p w:rsidR="00DA37A0" w:rsidRDefault="00DA37A0" w:rsidP="00A75E90">
      <w:pPr>
        <w:rPr>
          <w:rFonts w:eastAsia="Fira Sans" w:cs="Fira Sans"/>
          <w:color w:val="000000" w:themeColor="text1"/>
        </w:rPr>
      </w:pPr>
    </w:p>
    <w:p w:rsidR="00DA37A0" w:rsidRDefault="00DA37A0" w:rsidP="00A75E90">
      <w:pPr>
        <w:rPr>
          <w:rFonts w:eastAsia="Fira Sans" w:cs="Fira Sans"/>
          <w:color w:val="000000" w:themeColor="text1"/>
        </w:rPr>
      </w:pPr>
    </w:p>
    <w:p w:rsidR="00DA37A0" w:rsidRDefault="00DA37A0" w:rsidP="00A75E90">
      <w:pPr>
        <w:rPr>
          <w:rFonts w:eastAsia="Fira Sans" w:cs="Fira Sans"/>
          <w:color w:val="000000" w:themeColor="text1"/>
        </w:rPr>
      </w:pPr>
    </w:p>
    <w:p w:rsidR="00DA37A0" w:rsidRDefault="00DA37A0" w:rsidP="00A75E90">
      <w:pPr>
        <w:rPr>
          <w:rFonts w:eastAsia="Fira Sans" w:cs="Fira Sans"/>
          <w:color w:val="000000" w:themeColor="text1"/>
        </w:rPr>
      </w:pPr>
    </w:p>
    <w:p w:rsidR="002B0B28" w:rsidRDefault="00E145E3" w:rsidP="00E145E3">
      <w:pPr>
        <w:spacing w:line="288" w:lineRule="auto"/>
        <w:rPr>
          <w:rFonts w:eastAsia="Fira Sans" w:cs="Fira Sans"/>
          <w:color w:val="000000" w:themeColor="text1"/>
        </w:rPr>
      </w:pPr>
      <w:r w:rsidRPr="008A03F6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77BC14F4" wp14:editId="057CCF9A">
                <wp:simplePos x="0" y="0"/>
                <wp:positionH relativeFrom="column">
                  <wp:posOffset>5314950</wp:posOffset>
                </wp:positionH>
                <wp:positionV relativeFrom="page">
                  <wp:posOffset>5200650</wp:posOffset>
                </wp:positionV>
                <wp:extent cx="1725295" cy="819150"/>
                <wp:effectExtent l="0" t="0" r="0" b="0"/>
                <wp:wrapTight wrapText="bothSides">
                  <wp:wrapPolygon edited="0">
                    <wp:start x="715" y="0"/>
                    <wp:lineTo x="715" y="21098"/>
                    <wp:lineTo x="20749" y="21098"/>
                    <wp:lineTo x="20749" y="0"/>
                    <wp:lineTo x="715" y="0"/>
                  </wp:wrapPolygon>
                </wp:wrapTight>
                <wp:docPr id="25" name="Pole tekstowe 25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5E3" w:rsidRPr="00E95B8E" w:rsidRDefault="00E145E3" w:rsidP="00E145E3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144 ze 169 gmin w województwie, liczba kobiet była równa bądź wyższa liczbie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C14F4" id="Pole tekstowe 25" o:spid="_x0000_s1030" type="#_x0000_t202" alt="Lorem ipsum dolor sit amet, consectetur adipiscing elit" style="position:absolute;margin-left:418.5pt;margin-top:409.5pt;width:135.85pt;height:64.5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" filled="f" stroked="f">
                <v:textbox>
                  <w:txbxContent>
                    <w:p w:rsidR="00E145E3" w:rsidRPr="00E95B8E" w:rsidRDefault="00E145E3" w:rsidP="00E145E3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W 144 ze 169 gmin w województwie, liczba kobiet była równa bądź wyższa liczbie mężczyzn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:rsidR="00701AB6" w:rsidRDefault="00701AB6" w:rsidP="00E145E3">
      <w:pPr>
        <w:spacing w:line="288" w:lineRule="auto"/>
        <w:rPr>
          <w:rFonts w:eastAsia="Fira Sans" w:cs="Fira Sans"/>
          <w:b/>
          <w:color w:val="000000" w:themeColor="text1"/>
        </w:rPr>
      </w:pPr>
      <w:r w:rsidRPr="008A03F6">
        <w:rPr>
          <w:shd w:val="clear" w:color="auto" w:fill="FFFFFF"/>
        </w:rPr>
        <w:t xml:space="preserve">Najwyższą wartość wskaźnika feminizacji (liczba kobiet przypadających na 100 mężczyzn) odnotowano w: </w:t>
      </w:r>
      <w:r w:rsidRPr="008A03F6">
        <w:rPr>
          <w:spacing w:val="4"/>
          <w:shd w:val="clear" w:color="auto" w:fill="FFFFFF"/>
        </w:rPr>
        <w:t>Polanicy-Zdroju (121), Karpaczu (118) i Dusznikach-Zdroju (116). W gminach Pęcław</w:t>
      </w:r>
      <w:r w:rsidRPr="008A03F6">
        <w:rPr>
          <w:shd w:val="clear" w:color="auto" w:fill="FFFFFF"/>
        </w:rPr>
        <w:t xml:space="preserve"> i Platerówka na 100 mężczyzn przypadało odpowiednio 95 i 96 kobiet.</w:t>
      </w:r>
      <w:r w:rsidR="00E145E3" w:rsidRPr="00E145E3">
        <w:rPr>
          <w:b/>
          <w:noProof/>
          <w:spacing w:val="-2"/>
          <w:szCs w:val="19"/>
          <w:lang w:eastAsia="pl-PL"/>
        </w:rPr>
        <w:t xml:space="preserve"> </w:t>
      </w:r>
    </w:p>
    <w:p w:rsidR="00E8768A" w:rsidRPr="00F417DC" w:rsidRDefault="00E8768A" w:rsidP="00A75E90">
      <w:pPr>
        <w:rPr>
          <w:rFonts w:eastAsia="Fira Sans" w:cs="Fira Sans"/>
          <w:b/>
          <w:color w:val="000000" w:themeColor="text1"/>
        </w:rPr>
      </w:pPr>
      <w:r w:rsidRPr="00F417DC">
        <w:rPr>
          <w:rFonts w:eastAsia="Fira Sans" w:cs="Fira Sans"/>
          <w:b/>
          <w:color w:val="000000" w:themeColor="text1"/>
        </w:rPr>
        <w:t>Mapa 2. Wskaźnik feminizacji w 2021 r. (stan w dniu 31 marca)</w:t>
      </w:r>
    </w:p>
    <w:p w:rsidR="00DA37A0" w:rsidRDefault="002B0B28" w:rsidP="00A75E90">
      <w:pPr>
        <w:rPr>
          <w:rFonts w:eastAsia="Fira Sans" w:cs="Fira Sans"/>
          <w:color w:val="000000" w:themeColor="text1"/>
        </w:rPr>
      </w:pPr>
      <w:r>
        <w:rPr>
          <w:rFonts w:eastAsia="Fira Sans" w:cs="Fira Sans"/>
          <w:noProof/>
          <w:color w:val="000000" w:themeColor="text1"/>
          <w:lang w:eastAsia="pl-PL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63578</wp:posOffset>
            </wp:positionV>
            <wp:extent cx="5122545" cy="3995264"/>
            <wp:effectExtent l="0" t="0" r="0" b="0"/>
            <wp:wrapNone/>
            <wp:docPr id="27" name="Obraz 27" descr="Na mapie zaprezentowano wartość wskaźnika feminizacji w 2021, w poszczególnych gminach (5 klas natężenia koloru). Dane do mapy dostępne są w załączonym pliku Excel." title="Mapa 2. Wskaźnik feminizacji w 2021 r. (stan w dniu 31 mar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2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995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7A0" w:rsidRDefault="00DA37A0" w:rsidP="00A75E90">
      <w:pPr>
        <w:rPr>
          <w:rFonts w:eastAsia="Fira Sans" w:cs="Fira Sans"/>
          <w:color w:val="000000" w:themeColor="text1"/>
        </w:rPr>
      </w:pPr>
    </w:p>
    <w:p w:rsidR="00DA37A0" w:rsidRDefault="00DA37A0" w:rsidP="00A75E90">
      <w:pPr>
        <w:rPr>
          <w:rFonts w:eastAsia="Fira Sans" w:cs="Fira Sans"/>
          <w:color w:val="000000" w:themeColor="text1"/>
        </w:rPr>
      </w:pPr>
    </w:p>
    <w:p w:rsidR="00DA37A0" w:rsidRDefault="00DA37A0" w:rsidP="00A75E90">
      <w:pPr>
        <w:rPr>
          <w:rFonts w:eastAsia="Fira Sans" w:cs="Fira Sans"/>
          <w:color w:val="000000" w:themeColor="text1"/>
        </w:rPr>
      </w:pPr>
    </w:p>
    <w:p w:rsidR="00DA37A0" w:rsidRDefault="00DA37A0" w:rsidP="00A75E90">
      <w:pPr>
        <w:rPr>
          <w:rFonts w:eastAsia="Fira Sans" w:cs="Fira Sans"/>
          <w:color w:val="000000" w:themeColor="text1"/>
        </w:rPr>
      </w:pPr>
    </w:p>
    <w:p w:rsidR="00DA37A0" w:rsidRDefault="00DA37A0" w:rsidP="00A75E90">
      <w:pPr>
        <w:rPr>
          <w:rFonts w:eastAsia="Fira Sans" w:cs="Fira Sans"/>
          <w:color w:val="000000" w:themeColor="text1"/>
        </w:rPr>
      </w:pPr>
    </w:p>
    <w:p w:rsidR="00DA37A0" w:rsidRDefault="00DA37A0" w:rsidP="00A75E90">
      <w:pPr>
        <w:rPr>
          <w:rFonts w:eastAsia="Fira Sans" w:cs="Fira Sans"/>
          <w:color w:val="000000" w:themeColor="text1"/>
        </w:rPr>
      </w:pPr>
    </w:p>
    <w:p w:rsidR="00DA37A0" w:rsidRDefault="00DA37A0" w:rsidP="00A75E90">
      <w:pPr>
        <w:rPr>
          <w:rFonts w:eastAsia="Fira Sans" w:cs="Fira Sans"/>
          <w:color w:val="000000" w:themeColor="text1"/>
        </w:rPr>
      </w:pPr>
    </w:p>
    <w:p w:rsidR="00DA37A0" w:rsidRDefault="00DA37A0" w:rsidP="00A75E90">
      <w:pPr>
        <w:rPr>
          <w:rFonts w:eastAsia="Fira Sans" w:cs="Fira Sans"/>
          <w:color w:val="000000" w:themeColor="text1"/>
        </w:rPr>
      </w:pPr>
    </w:p>
    <w:p w:rsidR="00DA37A0" w:rsidRDefault="00DA37A0" w:rsidP="00A75E90">
      <w:pPr>
        <w:rPr>
          <w:rFonts w:eastAsia="Fira Sans" w:cs="Fira Sans"/>
          <w:color w:val="000000" w:themeColor="text1"/>
        </w:rPr>
      </w:pPr>
    </w:p>
    <w:p w:rsidR="00DA37A0" w:rsidRDefault="00DA37A0" w:rsidP="00A75E90">
      <w:pPr>
        <w:rPr>
          <w:rFonts w:eastAsia="Fira Sans" w:cs="Fira Sans"/>
          <w:color w:val="000000" w:themeColor="text1"/>
        </w:rPr>
      </w:pPr>
    </w:p>
    <w:p w:rsidR="00DA37A0" w:rsidRDefault="00DA37A0" w:rsidP="00A75E90">
      <w:pPr>
        <w:rPr>
          <w:rFonts w:eastAsia="Fira Sans" w:cs="Fira Sans"/>
          <w:color w:val="000000" w:themeColor="text1"/>
        </w:rPr>
      </w:pPr>
    </w:p>
    <w:p w:rsidR="00DA37A0" w:rsidRDefault="00DA37A0" w:rsidP="00A75E90">
      <w:pPr>
        <w:rPr>
          <w:rFonts w:eastAsia="Fira Sans" w:cs="Fira Sans"/>
          <w:color w:val="000000" w:themeColor="text1"/>
        </w:rPr>
      </w:pPr>
    </w:p>
    <w:p w:rsidR="00DA37A0" w:rsidRDefault="00DA37A0" w:rsidP="00A75E90">
      <w:pPr>
        <w:rPr>
          <w:rFonts w:eastAsia="Fira Sans" w:cs="Fira Sans"/>
          <w:color w:val="000000" w:themeColor="text1"/>
        </w:rPr>
      </w:pPr>
    </w:p>
    <w:p w:rsidR="00DA37A0" w:rsidRDefault="00DA37A0" w:rsidP="00A75E90">
      <w:pPr>
        <w:rPr>
          <w:rFonts w:eastAsia="Fira Sans" w:cs="Fira Sans"/>
          <w:color w:val="000000" w:themeColor="text1"/>
        </w:rPr>
      </w:pPr>
    </w:p>
    <w:p w:rsidR="00DA37A0" w:rsidRDefault="00DA37A0" w:rsidP="00A75E90">
      <w:pPr>
        <w:rPr>
          <w:rFonts w:eastAsia="Fira Sans" w:cs="Fira Sans"/>
          <w:color w:val="000000" w:themeColor="text1"/>
        </w:rPr>
      </w:pPr>
    </w:p>
    <w:p w:rsidR="00DA37A0" w:rsidRDefault="00DA37A0" w:rsidP="00A75E90">
      <w:pPr>
        <w:rPr>
          <w:rFonts w:eastAsia="Fira Sans" w:cs="Fira Sans"/>
          <w:color w:val="000000" w:themeColor="text1"/>
        </w:rPr>
      </w:pPr>
    </w:p>
    <w:p w:rsidR="00DA37A0" w:rsidRPr="00FA5306" w:rsidRDefault="00DA37A0" w:rsidP="00A75E90">
      <w:pPr>
        <w:rPr>
          <w:rFonts w:eastAsia="Fira Sans" w:cs="Fira Sans"/>
          <w:color w:val="000000" w:themeColor="text1"/>
        </w:rPr>
      </w:pPr>
    </w:p>
    <w:p w:rsidR="00701AB6" w:rsidRPr="00701AB6" w:rsidRDefault="00701AB6" w:rsidP="00701AB6">
      <w:pPr>
        <w:spacing w:line="288" w:lineRule="auto"/>
        <w:rPr>
          <w:shd w:val="clear" w:color="auto" w:fill="FFFFFF"/>
        </w:rPr>
      </w:pPr>
      <w:r w:rsidRPr="008A03F6">
        <w:rPr>
          <w:shd w:val="clear" w:color="auto" w:fill="FFFFFF"/>
        </w:rPr>
        <w:lastRenderedPageBreak/>
        <w:t>W 16 gminach (wyłącznie miejskich) gęstość zaludnienia była wyższa niż 1000 osób na 1 km</w:t>
      </w:r>
      <w:r w:rsidRPr="008A03F6">
        <w:rPr>
          <w:shd w:val="clear" w:color="auto" w:fill="FFFFFF"/>
          <w:vertAlign w:val="superscript"/>
        </w:rPr>
        <w:t>2</w:t>
      </w:r>
      <w:r w:rsidRPr="008A03F6">
        <w:rPr>
          <w:shd w:val="clear" w:color="auto" w:fill="FFFFFF"/>
        </w:rPr>
        <w:t xml:space="preserve">, w tym najwyższą zanotowano w: Chojnowie (2554), Świdnicy (2491) i </w:t>
      </w:r>
      <w:r w:rsidRPr="008A03F6">
        <w:rPr>
          <w:spacing w:val="2"/>
          <w:shd w:val="clear" w:color="auto" w:fill="FFFFFF"/>
        </w:rPr>
        <w:t>Wrocławiu (2297). Równo lub mniej niż 50 osób na 1 km</w:t>
      </w:r>
      <w:r w:rsidRPr="008A03F6">
        <w:rPr>
          <w:spacing w:val="2"/>
          <w:shd w:val="clear" w:color="auto" w:fill="FFFFFF"/>
          <w:vertAlign w:val="superscript"/>
        </w:rPr>
        <w:t>2</w:t>
      </w:r>
      <w:r w:rsidRPr="008A03F6">
        <w:rPr>
          <w:spacing w:val="2"/>
          <w:shd w:val="clear" w:color="auto" w:fill="FFFFFF"/>
        </w:rPr>
        <w:t xml:space="preserve"> było w 45 gminach, w tym najmniej w: Osiecznicy (17 osób), Gromadce (19)</w:t>
      </w:r>
      <w:r w:rsidRPr="008A03F6">
        <w:rPr>
          <w:shd w:val="clear" w:color="auto" w:fill="FFFFFF"/>
        </w:rPr>
        <w:t xml:space="preserve"> i Jemielnie (21).</w:t>
      </w:r>
    </w:p>
    <w:p w:rsidR="00E8768A" w:rsidRPr="00F417DC" w:rsidRDefault="00E8768A" w:rsidP="00A75E90">
      <w:pPr>
        <w:rPr>
          <w:rFonts w:eastAsia="Fira Sans" w:cs="Fira Sans"/>
          <w:b/>
          <w:color w:val="000000" w:themeColor="text1"/>
        </w:rPr>
      </w:pPr>
      <w:r w:rsidRPr="00F417DC">
        <w:rPr>
          <w:rFonts w:eastAsia="Fira Sans" w:cs="Fira Sans"/>
          <w:b/>
          <w:color w:val="000000" w:themeColor="text1"/>
        </w:rPr>
        <w:t>Mapa 3. Gęstość zaludnienia w 2021 r. (stan w dniu 31 marca)</w:t>
      </w:r>
    </w:p>
    <w:p w:rsidR="00510F88" w:rsidRDefault="006A495F" w:rsidP="00A75E90">
      <w:pPr>
        <w:rPr>
          <w:rFonts w:eastAsia="Fira Sans" w:cs="Fira Sans"/>
          <w:color w:val="000000" w:themeColor="text1"/>
        </w:rPr>
      </w:pPr>
      <w:r>
        <w:rPr>
          <w:rFonts w:eastAsia="Fira Sans" w:cs="Fira Sans"/>
          <w:noProof/>
          <w:color w:val="000000" w:themeColor="text1"/>
          <w:lang w:eastAsia="pl-PL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3976</wp:posOffset>
            </wp:positionH>
            <wp:positionV relativeFrom="paragraph">
              <wp:posOffset>8273</wp:posOffset>
            </wp:positionV>
            <wp:extent cx="5122545" cy="3757066"/>
            <wp:effectExtent l="0" t="0" r="0" b="0"/>
            <wp:wrapNone/>
            <wp:docPr id="28" name="Obraz 28" descr="Na mapie zaprezentowano gęstość zaludnienia w 2021, w poszczególnych gminach (7 klas natężenia koloru). Dane do mapy dostępne są w załączonym pliku Excel." title="Mapa 3. Gęstość zaludnienia w 2021 r. (stan w dniu 31 mar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3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757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F88" w:rsidRDefault="00510F88" w:rsidP="00A75E90">
      <w:pPr>
        <w:rPr>
          <w:rFonts w:eastAsia="Fira Sans" w:cs="Fira Sans"/>
          <w:color w:val="000000" w:themeColor="text1"/>
        </w:rPr>
      </w:pPr>
    </w:p>
    <w:p w:rsidR="00510F88" w:rsidRDefault="00510F88" w:rsidP="00A75E90">
      <w:pPr>
        <w:rPr>
          <w:rFonts w:eastAsia="Fira Sans" w:cs="Fira Sans"/>
          <w:color w:val="000000" w:themeColor="text1"/>
        </w:rPr>
      </w:pPr>
    </w:p>
    <w:p w:rsidR="00510F88" w:rsidRDefault="00510F88" w:rsidP="00A75E90">
      <w:pPr>
        <w:rPr>
          <w:rFonts w:eastAsia="Fira Sans" w:cs="Fira Sans"/>
          <w:color w:val="000000" w:themeColor="text1"/>
        </w:rPr>
      </w:pPr>
    </w:p>
    <w:p w:rsidR="00510F88" w:rsidRDefault="00510F88" w:rsidP="00A75E90">
      <w:pPr>
        <w:rPr>
          <w:rFonts w:eastAsia="Fira Sans" w:cs="Fira Sans"/>
          <w:color w:val="000000" w:themeColor="text1"/>
        </w:rPr>
      </w:pPr>
    </w:p>
    <w:p w:rsidR="00510F88" w:rsidRDefault="00510F88" w:rsidP="00A75E90">
      <w:pPr>
        <w:rPr>
          <w:rFonts w:eastAsia="Fira Sans" w:cs="Fira Sans"/>
          <w:color w:val="000000" w:themeColor="text1"/>
        </w:rPr>
      </w:pPr>
    </w:p>
    <w:p w:rsidR="00510F88" w:rsidRDefault="00510F88" w:rsidP="00A75E90">
      <w:pPr>
        <w:rPr>
          <w:rFonts w:eastAsia="Fira Sans" w:cs="Fira Sans"/>
          <w:color w:val="000000" w:themeColor="text1"/>
        </w:rPr>
      </w:pPr>
    </w:p>
    <w:p w:rsidR="00510F88" w:rsidRDefault="00510F88" w:rsidP="00A75E90">
      <w:pPr>
        <w:rPr>
          <w:rFonts w:eastAsia="Fira Sans" w:cs="Fira Sans"/>
          <w:color w:val="000000" w:themeColor="text1"/>
        </w:rPr>
      </w:pPr>
    </w:p>
    <w:p w:rsidR="00510F88" w:rsidRDefault="00510F88" w:rsidP="00A75E90">
      <w:pPr>
        <w:rPr>
          <w:rFonts w:eastAsia="Fira Sans" w:cs="Fira Sans"/>
          <w:color w:val="000000" w:themeColor="text1"/>
        </w:rPr>
      </w:pPr>
    </w:p>
    <w:p w:rsidR="00510F88" w:rsidRDefault="00510F88" w:rsidP="00A75E90">
      <w:pPr>
        <w:rPr>
          <w:rFonts w:eastAsia="Fira Sans" w:cs="Fira Sans"/>
          <w:color w:val="000000" w:themeColor="text1"/>
        </w:rPr>
      </w:pPr>
    </w:p>
    <w:p w:rsidR="00510F88" w:rsidRDefault="00510F88" w:rsidP="00A75E90">
      <w:pPr>
        <w:rPr>
          <w:rFonts w:eastAsia="Fira Sans" w:cs="Fira Sans"/>
          <w:color w:val="000000" w:themeColor="text1"/>
        </w:rPr>
      </w:pPr>
    </w:p>
    <w:p w:rsidR="00510F88" w:rsidRDefault="00510F88" w:rsidP="00A75E90">
      <w:pPr>
        <w:rPr>
          <w:rFonts w:eastAsia="Fira Sans" w:cs="Fira Sans"/>
          <w:color w:val="000000" w:themeColor="text1"/>
        </w:rPr>
      </w:pPr>
    </w:p>
    <w:p w:rsidR="00510F88" w:rsidRDefault="00510F88" w:rsidP="00A75E90">
      <w:pPr>
        <w:rPr>
          <w:rFonts w:eastAsia="Fira Sans" w:cs="Fira Sans"/>
          <w:color w:val="000000" w:themeColor="text1"/>
        </w:rPr>
      </w:pPr>
    </w:p>
    <w:p w:rsidR="00510F88" w:rsidRPr="00FA5306" w:rsidRDefault="00510F88" w:rsidP="00A75E90">
      <w:pPr>
        <w:rPr>
          <w:color w:val="000000" w:themeColor="text1"/>
        </w:rPr>
      </w:pPr>
    </w:p>
    <w:p w:rsidR="00186A65" w:rsidRDefault="00186A65" w:rsidP="00C440B4">
      <w:pPr>
        <w:spacing w:line="288" w:lineRule="auto"/>
        <w:rPr>
          <w:highlight w:val="yellow"/>
          <w:shd w:val="clear" w:color="auto" w:fill="FFFFFF"/>
        </w:rPr>
      </w:pPr>
    </w:p>
    <w:p w:rsidR="00186A65" w:rsidRDefault="00186A65" w:rsidP="00C440B4">
      <w:pPr>
        <w:spacing w:line="288" w:lineRule="auto"/>
        <w:rPr>
          <w:highlight w:val="yellow"/>
          <w:shd w:val="clear" w:color="auto" w:fill="FFFFFF"/>
        </w:rPr>
      </w:pPr>
    </w:p>
    <w:p w:rsidR="00186A65" w:rsidRDefault="00186A65" w:rsidP="00C440B4">
      <w:pPr>
        <w:spacing w:line="288" w:lineRule="auto"/>
        <w:rPr>
          <w:highlight w:val="yellow"/>
          <w:shd w:val="clear" w:color="auto" w:fill="FFFFFF"/>
        </w:rPr>
      </w:pPr>
    </w:p>
    <w:p w:rsidR="004414F9" w:rsidRPr="003508CA" w:rsidRDefault="0048430F" w:rsidP="00C440B4">
      <w:pPr>
        <w:spacing w:line="288" w:lineRule="auto"/>
        <w:rPr>
          <w:shd w:val="clear" w:color="auto" w:fill="FFFFFF"/>
        </w:rPr>
      </w:pPr>
      <w:r w:rsidRPr="008A03F6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77BC14F4" wp14:editId="057CCF9A">
                <wp:simplePos x="0" y="0"/>
                <wp:positionH relativeFrom="column">
                  <wp:posOffset>5276850</wp:posOffset>
                </wp:positionH>
                <wp:positionV relativeFrom="page">
                  <wp:posOffset>5753100</wp:posOffset>
                </wp:positionV>
                <wp:extent cx="1725295" cy="819150"/>
                <wp:effectExtent l="0" t="0" r="0" b="0"/>
                <wp:wrapTight wrapText="bothSides">
                  <wp:wrapPolygon edited="0">
                    <wp:start x="715" y="0"/>
                    <wp:lineTo x="715" y="21098"/>
                    <wp:lineTo x="20749" y="21098"/>
                    <wp:lineTo x="20749" y="0"/>
                    <wp:lineTo x="715" y="0"/>
                  </wp:wrapPolygon>
                </wp:wrapTight>
                <wp:docPr id="20" name="Pole tekstowe 20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30F" w:rsidRPr="0048430F" w:rsidRDefault="0048430F" w:rsidP="0048430F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Populacja osób w wieku produkcyjnym zmniejszyła się, a liczba osób w wieku poprodukcyjnym wzrosła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C14F4" id="Pole tekstowe 20" o:spid="_x0000_s1031" type="#_x0000_t202" alt="Lorem ipsum dolor sit amet, consectetur adipiscing elit" style="position:absolute;margin-left:415.5pt;margin-top:453pt;width:135.85pt;height:64.5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" filled="f" stroked="f">
                <v:textbox>
                  <w:txbxContent>
                    <w:p w:rsidR="0048430F" w:rsidRPr="0048430F" w:rsidRDefault="0048430F" w:rsidP="0048430F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Populacja osób w wieku produkcyjnym zm</w:t>
                      </w:r>
                      <w:bookmarkStart w:id="4" w:name="_GoBack"/>
                      <w:bookmarkEnd w:id="4"/>
                      <w:r>
                        <w:t>niejszyła się, a liczba osób w wieku poprodukcyjnym wzrosła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92615" w:rsidRPr="00F92615">
        <w:rPr>
          <w:shd w:val="clear" w:color="auto" w:fill="FFFFFF"/>
        </w:rPr>
        <w:t xml:space="preserve">Liczba osób w wieku przedprodukcyjnym (do 17 lat włącznie) spadła z 504,5 tys. do 500,2 tys., lecz jej udział w całości populacji województwa zmniejszył się minimalnie (o 0,1 </w:t>
      </w:r>
      <w:proofErr w:type="spellStart"/>
      <w:r w:rsidR="00F92615" w:rsidRPr="00F92615">
        <w:rPr>
          <w:shd w:val="clear" w:color="auto" w:fill="FFFFFF"/>
        </w:rPr>
        <w:t>p.proc</w:t>
      </w:r>
      <w:proofErr w:type="spellEnd"/>
      <w:r w:rsidR="00F92615" w:rsidRPr="00F92615">
        <w:rPr>
          <w:shd w:val="clear" w:color="auto" w:fill="FFFFFF"/>
        </w:rPr>
        <w:t xml:space="preserve">., do 17,2%, w Polsce 18,4%). </w:t>
      </w:r>
      <w:r w:rsidR="00F92615" w:rsidRPr="00F92615">
        <w:rPr>
          <w:spacing w:val="4"/>
          <w:shd w:val="clear" w:color="auto" w:fill="FFFFFF"/>
        </w:rPr>
        <w:t>Nadal większość w populacji stanowiły osoby w wieku produkcyjnym (18 do 60 lat w</w:t>
      </w:r>
      <w:r w:rsidR="00F92615" w:rsidRPr="00F92615">
        <w:rPr>
          <w:shd w:val="clear" w:color="auto" w:fill="FFFFFF"/>
        </w:rPr>
        <w:t xml:space="preserve"> przypadku kobiet i 18 do 65 lat w przypadku mężczyzn) – 59,5% (1727,7 tys. osób, w kraju 59,3%), jednak ich </w:t>
      </w:r>
      <w:r w:rsidR="00F92615" w:rsidRPr="00F92615">
        <w:rPr>
          <w:spacing w:val="-2"/>
          <w:shd w:val="clear" w:color="auto" w:fill="FFFFFF"/>
        </w:rPr>
        <w:t xml:space="preserve">udział zmniejszył się w ciągu 10 lat o 6,1 </w:t>
      </w:r>
      <w:proofErr w:type="spellStart"/>
      <w:r w:rsidR="00F92615" w:rsidRPr="00F92615">
        <w:rPr>
          <w:spacing w:val="-2"/>
          <w:shd w:val="clear" w:color="auto" w:fill="FFFFFF"/>
        </w:rPr>
        <w:t>p.proc</w:t>
      </w:r>
      <w:proofErr w:type="spellEnd"/>
      <w:r w:rsidR="00F92615" w:rsidRPr="00F92615">
        <w:rPr>
          <w:spacing w:val="-2"/>
          <w:shd w:val="clear" w:color="auto" w:fill="FFFFFF"/>
        </w:rPr>
        <w:t>. (1912,2 tys. osób w 2011 r.). Udział osób w wieku poprodukcyjnym wzrósł</w:t>
      </w:r>
      <w:r w:rsidR="00F92615" w:rsidRPr="00F92615">
        <w:rPr>
          <w:shd w:val="clear" w:color="auto" w:fill="FFFFFF"/>
        </w:rPr>
        <w:t xml:space="preserve"> z 17,1% (498,5 tys. osób) w 2011 r. do 23,3% (677,0 tys. osób) w 2021 r. (w Polsce 22,3%).</w:t>
      </w:r>
    </w:p>
    <w:p w:rsidR="00B64307" w:rsidRPr="00F417DC" w:rsidRDefault="00186A65" w:rsidP="00632DE7">
      <w:pPr>
        <w:rPr>
          <w:rFonts w:eastAsia="Fira Sans" w:cs="Fira Sans"/>
          <w:b/>
          <w:color w:val="000000" w:themeColor="text1"/>
        </w:rPr>
      </w:pPr>
      <w:r w:rsidRPr="00F417DC">
        <w:rPr>
          <w:rFonts w:eastAsia="Fira Sans" w:cs="Fira Sans"/>
          <w:b/>
          <w:noProof/>
          <w:color w:val="000000" w:themeColor="text1"/>
          <w:lang w:eastAsia="pl-PL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212090</wp:posOffset>
            </wp:positionV>
            <wp:extent cx="5122545" cy="2685415"/>
            <wp:effectExtent l="0" t="0" r="1905" b="635"/>
            <wp:wrapNone/>
            <wp:docPr id="29" name="Obraz 29" descr="Wykres słupkowy, grupowany przedstawiający udział 3 grup wieku: wiek przeprodukcyjny, produkcyjny i poprodukcyjny, w latach 2011 i 2021. Dane do mapy dostępne są w załączonym pliku Excel." title="Wykres 2. Ludność według ekonomicznych grup wie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2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68A" w:rsidRPr="00F417DC">
        <w:rPr>
          <w:rFonts w:eastAsia="Fira Sans" w:cs="Fira Sans"/>
          <w:b/>
          <w:color w:val="000000" w:themeColor="text1"/>
        </w:rPr>
        <w:t>Wykres 2. Ludność według ekonomicznych grup wieku</w:t>
      </w:r>
    </w:p>
    <w:p w:rsidR="00186A65" w:rsidRDefault="00186A65" w:rsidP="00632DE7">
      <w:pPr>
        <w:rPr>
          <w:rFonts w:eastAsia="Fira Sans" w:cs="Fira Sans"/>
          <w:color w:val="000000" w:themeColor="text1"/>
        </w:rPr>
      </w:pPr>
    </w:p>
    <w:p w:rsidR="00186A65" w:rsidRDefault="00186A65" w:rsidP="00632DE7">
      <w:pPr>
        <w:rPr>
          <w:rFonts w:eastAsia="Fira Sans" w:cs="Fira Sans"/>
          <w:color w:val="000000" w:themeColor="text1"/>
        </w:rPr>
      </w:pPr>
    </w:p>
    <w:p w:rsidR="00186A65" w:rsidRDefault="00186A65" w:rsidP="00632DE7">
      <w:pPr>
        <w:rPr>
          <w:rFonts w:eastAsia="Fira Sans" w:cs="Fira Sans"/>
          <w:color w:val="000000" w:themeColor="text1"/>
        </w:rPr>
      </w:pPr>
    </w:p>
    <w:p w:rsidR="00186A65" w:rsidRDefault="00186A65" w:rsidP="00632DE7">
      <w:pPr>
        <w:rPr>
          <w:rFonts w:eastAsia="Fira Sans" w:cs="Fira Sans"/>
          <w:color w:val="000000" w:themeColor="text1"/>
        </w:rPr>
      </w:pPr>
    </w:p>
    <w:p w:rsidR="00186A65" w:rsidRDefault="00186A65" w:rsidP="00632DE7">
      <w:pPr>
        <w:rPr>
          <w:rFonts w:eastAsia="Fira Sans" w:cs="Fira Sans"/>
          <w:color w:val="000000" w:themeColor="text1"/>
        </w:rPr>
      </w:pPr>
    </w:p>
    <w:p w:rsidR="00186A65" w:rsidRDefault="00186A65" w:rsidP="00632DE7">
      <w:pPr>
        <w:rPr>
          <w:rFonts w:eastAsia="Fira Sans" w:cs="Fira Sans"/>
          <w:color w:val="000000" w:themeColor="text1"/>
        </w:rPr>
      </w:pPr>
    </w:p>
    <w:p w:rsidR="00186A65" w:rsidRDefault="00186A65" w:rsidP="00632DE7">
      <w:pPr>
        <w:rPr>
          <w:rFonts w:eastAsia="Fira Sans" w:cs="Fira Sans"/>
          <w:color w:val="000000" w:themeColor="text1"/>
        </w:rPr>
      </w:pPr>
    </w:p>
    <w:p w:rsidR="00186A65" w:rsidRDefault="00186A65" w:rsidP="00632DE7">
      <w:pPr>
        <w:rPr>
          <w:rFonts w:eastAsia="Fira Sans" w:cs="Fira Sans"/>
          <w:color w:val="000000" w:themeColor="text1"/>
        </w:rPr>
      </w:pPr>
    </w:p>
    <w:p w:rsidR="00186A65" w:rsidRDefault="00186A65" w:rsidP="00632DE7">
      <w:pPr>
        <w:rPr>
          <w:rFonts w:eastAsia="Fira Sans" w:cs="Fira Sans"/>
          <w:color w:val="000000" w:themeColor="text1"/>
        </w:rPr>
      </w:pPr>
    </w:p>
    <w:p w:rsidR="00186A65" w:rsidRDefault="00186A65" w:rsidP="00632DE7">
      <w:pPr>
        <w:rPr>
          <w:rFonts w:eastAsia="Fira Sans" w:cs="Fira Sans"/>
          <w:color w:val="000000" w:themeColor="text1"/>
        </w:rPr>
      </w:pPr>
    </w:p>
    <w:p w:rsidR="00186A65" w:rsidRDefault="00186A65" w:rsidP="00632DE7">
      <w:pPr>
        <w:rPr>
          <w:rFonts w:eastAsia="Fira Sans" w:cs="Fira Sans"/>
          <w:color w:val="000000" w:themeColor="text1"/>
        </w:rPr>
      </w:pPr>
    </w:p>
    <w:p w:rsidR="00186A65" w:rsidRDefault="00186A65" w:rsidP="00632DE7">
      <w:pPr>
        <w:rPr>
          <w:rFonts w:eastAsia="Fira Sans" w:cs="Fira Sans"/>
          <w:color w:val="000000" w:themeColor="text1"/>
        </w:rPr>
      </w:pPr>
    </w:p>
    <w:bookmarkEnd w:id="3"/>
    <w:p w:rsidR="00876252" w:rsidRDefault="00876252" w:rsidP="00C440B4">
      <w:pPr>
        <w:spacing w:line="288" w:lineRule="auto"/>
        <w:rPr>
          <w:spacing w:val="4"/>
          <w:shd w:val="clear" w:color="auto" w:fill="FFFFFF"/>
        </w:rPr>
      </w:pPr>
    </w:p>
    <w:p w:rsidR="00632DE7" w:rsidRDefault="00F92615" w:rsidP="00C440B4">
      <w:pPr>
        <w:spacing w:line="288" w:lineRule="auto"/>
        <w:rPr>
          <w:shd w:val="clear" w:color="auto" w:fill="FFFFFF"/>
        </w:rPr>
      </w:pPr>
      <w:r w:rsidRPr="00F92615">
        <w:rPr>
          <w:spacing w:val="4"/>
          <w:shd w:val="clear" w:color="auto" w:fill="FFFFFF"/>
        </w:rPr>
        <w:lastRenderedPageBreak/>
        <w:t xml:space="preserve">Udział osób w wieku 65 lat i więcej wyniósł w 2021 r., w województwie dolnośląskim 19,5% (w Polsce 18,6%) i było on o 6,1 </w:t>
      </w:r>
      <w:proofErr w:type="spellStart"/>
      <w:r w:rsidRPr="00F92615">
        <w:rPr>
          <w:spacing w:val="4"/>
          <w:shd w:val="clear" w:color="auto" w:fill="FFFFFF"/>
        </w:rPr>
        <w:t>p.proc</w:t>
      </w:r>
      <w:proofErr w:type="spellEnd"/>
      <w:r w:rsidRPr="00F92615">
        <w:rPr>
          <w:spacing w:val="4"/>
          <w:shd w:val="clear" w:color="auto" w:fill="FFFFFF"/>
        </w:rPr>
        <w:t>. wię</w:t>
      </w:r>
      <w:r>
        <w:rPr>
          <w:spacing w:val="4"/>
          <w:shd w:val="clear" w:color="auto" w:fill="FFFFFF"/>
        </w:rPr>
        <w:t>kszy</w:t>
      </w:r>
      <w:r w:rsidRPr="00F92615">
        <w:rPr>
          <w:spacing w:val="4"/>
          <w:shd w:val="clear" w:color="auto" w:fill="FFFFFF"/>
        </w:rPr>
        <w:t xml:space="preserve"> niż 10 lat wcześniej. Na poziomie gmin największy udział </w:t>
      </w:r>
      <w:r w:rsidRPr="00F92615">
        <w:rPr>
          <w:spacing w:val="-4"/>
          <w:shd w:val="clear" w:color="auto" w:fill="FFFFFF"/>
        </w:rPr>
        <w:t>osób w tym wieku odnotowano w Dusznikach-Zdroju (27,7%), Polani</w:t>
      </w:r>
      <w:r w:rsidR="005C6BC1">
        <w:rPr>
          <w:spacing w:val="-4"/>
          <w:shd w:val="clear" w:color="auto" w:fill="FFFFFF"/>
        </w:rPr>
        <w:t>cy-Zdroju (27,0%) i Szczawnie-</w:t>
      </w:r>
      <w:r w:rsidRPr="00F92615">
        <w:rPr>
          <w:spacing w:val="-4"/>
          <w:shd w:val="clear" w:color="auto" w:fill="FFFFFF"/>
        </w:rPr>
        <w:t>Zdroju (25,1%)</w:t>
      </w:r>
      <w:r w:rsidRPr="00F92615">
        <w:rPr>
          <w:shd w:val="clear" w:color="auto" w:fill="FFFFFF"/>
        </w:rPr>
        <w:t>. Najmniejszy udział ludności w wieku co najmniej 65 lat wystąpił w gminach: Kobierzyce (10,9%), Długołęka (11,0%) i Jerzmanowa (11,2</w:t>
      </w:r>
      <w:r w:rsidR="00701AB6" w:rsidRPr="00F92615">
        <w:rPr>
          <w:shd w:val="clear" w:color="auto" w:fill="FFFFFF"/>
        </w:rPr>
        <w:t>%).</w:t>
      </w:r>
    </w:p>
    <w:p w:rsidR="00637101" w:rsidRPr="00F417DC" w:rsidRDefault="00FA5306" w:rsidP="00637101">
      <w:pPr>
        <w:spacing w:before="0" w:after="0"/>
        <w:rPr>
          <w:rFonts w:eastAsia="Fira Sans" w:cs="Fira Sans"/>
          <w:b/>
          <w:color w:val="000000" w:themeColor="text1"/>
        </w:rPr>
      </w:pPr>
      <w:r w:rsidRPr="00F417DC">
        <w:rPr>
          <w:rFonts w:eastAsia="Fira Sans" w:cs="Fira Sans"/>
          <w:b/>
          <w:color w:val="000000" w:themeColor="text1"/>
        </w:rPr>
        <w:t xml:space="preserve">Mapa 4. Udział osób w wieku 65 lat i więcej w ogólnej liczbie ludności w 2021 r. </w:t>
      </w:r>
      <w:r w:rsidR="00F417DC" w:rsidRPr="00F417DC">
        <w:rPr>
          <w:rFonts w:eastAsia="Fira Sans" w:cs="Fira Sans"/>
          <w:b/>
          <w:color w:val="000000" w:themeColor="text1"/>
        </w:rPr>
        <w:br/>
        <w:t xml:space="preserve">               </w:t>
      </w:r>
      <w:r w:rsidRPr="00F417DC">
        <w:rPr>
          <w:rFonts w:eastAsia="Fira Sans" w:cs="Fira Sans"/>
          <w:b/>
          <w:color w:val="000000" w:themeColor="text1"/>
        </w:rPr>
        <w:t>(stan w dniu 31 marca)</w:t>
      </w: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010C15" w:rsidP="00637101">
      <w:pPr>
        <w:spacing w:before="0" w:after="0"/>
        <w:rPr>
          <w:rFonts w:eastAsia="Fira Sans" w:cs="Fira Sans"/>
          <w:color w:val="000000" w:themeColor="text1"/>
        </w:rPr>
      </w:pPr>
      <w:r w:rsidRPr="00F417DC">
        <w:rPr>
          <w:rFonts w:eastAsia="Fira Sans" w:cs="Fira Sans"/>
          <w:b/>
          <w:noProof/>
          <w:color w:val="000000" w:themeColor="text1"/>
          <w:lang w:eastAsia="pl-PL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5120640" cy="3055620"/>
            <wp:effectExtent l="0" t="0" r="0" b="0"/>
            <wp:wrapNone/>
            <wp:docPr id="30" name="Obraz 30" descr="Na mapie zaprezentowano udział osób w wieku 65 lat i więcej w ogólnej liczbie ludności w 2021, w poszczególnych gminach (6 klas natężenia koloru), wraz z wartością zmiany w stosunku do 2011 r. (słupek). Dane do mapy dostępne są w załączonym pliku Excel." title="Mapa 4. Udział osób w wieku 65 lat i więcej w ogólnej liczbie ludności w 2021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4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81320C" w:rsidP="00637101">
      <w:pPr>
        <w:spacing w:before="0" w:after="0"/>
        <w:rPr>
          <w:rFonts w:eastAsia="Fira Sans" w:cs="Fira Sans"/>
          <w:color w:val="000000" w:themeColor="text1"/>
        </w:rPr>
      </w:pPr>
      <w:r w:rsidRPr="008A03F6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77BC14F4" wp14:editId="057CCF9A">
                <wp:simplePos x="0" y="0"/>
                <wp:positionH relativeFrom="column">
                  <wp:posOffset>5276850</wp:posOffset>
                </wp:positionH>
                <wp:positionV relativeFrom="page">
                  <wp:posOffset>5429250</wp:posOffset>
                </wp:positionV>
                <wp:extent cx="1725295" cy="800100"/>
                <wp:effectExtent l="0" t="0" r="0" b="0"/>
                <wp:wrapTight wrapText="bothSides">
                  <wp:wrapPolygon edited="0">
                    <wp:start x="715" y="0"/>
                    <wp:lineTo x="715" y="21086"/>
                    <wp:lineTo x="20749" y="21086"/>
                    <wp:lineTo x="20749" y="0"/>
                    <wp:lineTo x="715" y="0"/>
                  </wp:wrapPolygon>
                </wp:wrapTight>
                <wp:docPr id="24" name="Pole tekstowe 2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30F" w:rsidRPr="00E95B8E" w:rsidRDefault="0048430F" w:rsidP="0048430F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niemal 73% gmin, liczba ludności w wieku 65 lat i więcej była wyższa niż liczba ludności do 14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C14F4" id="Pole tekstowe 24" o:spid="_x0000_s1032" type="#_x0000_t202" alt="Lorem ipsum dolor sit amet, consectetur adipiscing elit" style="position:absolute;margin-left:415.5pt;margin-top:427.5pt;width:135.85pt;height:63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" filled="f" stroked="f">
                <v:textbox>
                  <w:txbxContent>
                    <w:p w:rsidR="0048430F" w:rsidRPr="00E95B8E" w:rsidRDefault="0048430F" w:rsidP="0048430F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W niemal 73% gmin, liczba ludności w wieku 65 lat i więcej była wyższa niż liczba ludności do 14 lat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:rsidR="00701AB6" w:rsidRDefault="00701AB6" w:rsidP="00DC05A6">
      <w:pPr>
        <w:spacing w:before="0" w:after="0"/>
        <w:rPr>
          <w:shd w:val="clear" w:color="auto" w:fill="FFFFFF"/>
        </w:rPr>
      </w:pPr>
      <w:r w:rsidRPr="00F92615">
        <w:rPr>
          <w:shd w:val="clear" w:color="auto" w:fill="FFFFFF"/>
        </w:rPr>
        <w:t xml:space="preserve">Indeks starości (liczba ludności w wieku 65 lat i więcej na 100 osób w wieku 0-14 lat) wyniósł w województwie 133 (w kraju 119), podczas </w:t>
      </w:r>
      <w:r w:rsidRPr="00F92615">
        <w:rPr>
          <w:spacing w:val="4"/>
          <w:shd w:val="clear" w:color="auto" w:fill="FFFFFF"/>
        </w:rPr>
        <w:t>gdy w 2011 było to 96 osób. W 123 z</w:t>
      </w:r>
      <w:r>
        <w:rPr>
          <w:spacing w:val="4"/>
          <w:shd w:val="clear" w:color="auto" w:fill="FFFFFF"/>
        </w:rPr>
        <w:t>e</w:t>
      </w:r>
      <w:r w:rsidRPr="00F92615">
        <w:rPr>
          <w:spacing w:val="4"/>
          <w:shd w:val="clear" w:color="auto" w:fill="FFFFFF"/>
        </w:rPr>
        <w:t xml:space="preserve"> 169 gmin województwa, indeks był wyższy niż 100, z</w:t>
      </w:r>
      <w:r w:rsidRPr="00F92615">
        <w:rPr>
          <w:shd w:val="clear" w:color="auto" w:fill="FFFFFF"/>
        </w:rPr>
        <w:t xml:space="preserve"> najwyższymi wartościami odnotowanymi w: Dusznikach-Zdroju i Polanicy-Zdroju (po 252), Szklarskiej Porębie (211) </w:t>
      </w:r>
      <w:r w:rsidRPr="00F92615">
        <w:rPr>
          <w:spacing w:val="4"/>
          <w:shd w:val="clear" w:color="auto" w:fill="FFFFFF"/>
        </w:rPr>
        <w:t>oraz Zgorzelcu i Jeleniej Górze (po 210). Najniższe wartości indeksu odnotowano</w:t>
      </w:r>
      <w:r w:rsidRPr="00F92615">
        <w:rPr>
          <w:shd w:val="clear" w:color="auto" w:fill="FFFFFF"/>
        </w:rPr>
        <w:t xml:space="preserve"> w: Kobierzycach i Długołęce (po 48), Czernicy (51) i Siechnicach (52).</w:t>
      </w:r>
    </w:p>
    <w:p w:rsidR="00701AB6" w:rsidRDefault="00701AB6" w:rsidP="00637101">
      <w:pPr>
        <w:spacing w:before="0" w:after="0"/>
        <w:rPr>
          <w:rFonts w:eastAsia="Fira Sans" w:cs="Fira Sans"/>
          <w:b/>
          <w:color w:val="000000" w:themeColor="text1"/>
        </w:rPr>
      </w:pPr>
    </w:p>
    <w:p w:rsidR="00F417DC" w:rsidRPr="00F417DC" w:rsidRDefault="00FA5306" w:rsidP="00637101">
      <w:pPr>
        <w:spacing w:before="0" w:after="0"/>
        <w:rPr>
          <w:rFonts w:eastAsia="Fira Sans" w:cs="Fira Sans"/>
          <w:b/>
          <w:color w:val="000000" w:themeColor="text1"/>
        </w:rPr>
      </w:pPr>
      <w:r w:rsidRPr="00F417DC">
        <w:rPr>
          <w:rFonts w:eastAsia="Fira Sans" w:cs="Fira Sans"/>
          <w:b/>
          <w:color w:val="000000" w:themeColor="text1"/>
        </w:rPr>
        <w:t xml:space="preserve">Mapa 5. Liczba osób w wieku 65 lat i więcej przypadająca na 100 osób w wieku 0–14 lat </w:t>
      </w:r>
    </w:p>
    <w:p w:rsidR="00FA5306" w:rsidRPr="00F417DC" w:rsidRDefault="00F417DC" w:rsidP="00637101">
      <w:pPr>
        <w:spacing w:before="0" w:after="0"/>
        <w:rPr>
          <w:rFonts w:eastAsia="Fira Sans" w:cs="Fira Sans"/>
          <w:b/>
          <w:color w:val="000000" w:themeColor="text1"/>
        </w:rPr>
      </w:pPr>
      <w:r w:rsidRPr="00F417DC">
        <w:rPr>
          <w:rFonts w:eastAsia="Fira Sans" w:cs="Fira Sans"/>
          <w:b/>
          <w:color w:val="000000" w:themeColor="text1"/>
        </w:rPr>
        <w:t xml:space="preserve">              </w:t>
      </w:r>
      <w:r w:rsidR="00FA5306" w:rsidRPr="00F417DC">
        <w:rPr>
          <w:rFonts w:eastAsia="Fira Sans" w:cs="Fira Sans"/>
          <w:b/>
          <w:color w:val="000000" w:themeColor="text1"/>
        </w:rPr>
        <w:t>w 2021 r. (stan w dniu 31 marca)</w:t>
      </w: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DC05A6" w:rsidP="00637101">
      <w:pPr>
        <w:spacing w:before="0" w:after="0"/>
        <w:rPr>
          <w:rFonts w:eastAsia="Fira Sans" w:cs="Fira Sans"/>
          <w:color w:val="000000" w:themeColor="text1"/>
        </w:rPr>
      </w:pPr>
      <w:r>
        <w:rPr>
          <w:rFonts w:eastAsia="Fira Sans" w:cs="Fira Sans"/>
          <w:noProof/>
          <w:color w:val="000000" w:themeColor="text1"/>
          <w:lang w:eastAsia="pl-PL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5121275" cy="2900680"/>
            <wp:effectExtent l="0" t="0" r="0" b="0"/>
            <wp:wrapNone/>
            <wp:docPr id="31" name="Obraz 31" descr="Na mapie zaprezentowano liczbę osób w wieku 65 lat i więcej przypadającą na 100 osób w wieku 0-14 lat w 2021, w poszczególnych gminach (6 klas natężenia koloru). Dane do mapy dostępne są w załączonym pliku Excel." title="Mapa 5. Liczba osób w wieku 65 lat i więcej przypadająca na 100 osób w wieku 0–14 la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5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10435D" w:rsidRDefault="0010435D" w:rsidP="00637101">
      <w:pPr>
        <w:spacing w:before="0" w:after="0"/>
        <w:rPr>
          <w:rFonts w:eastAsia="Fira Sans" w:cs="Fira Sans"/>
          <w:color w:val="000000" w:themeColor="text1"/>
        </w:rPr>
      </w:pPr>
    </w:p>
    <w:p w:rsidR="00DC05A6" w:rsidRDefault="00DC05A6" w:rsidP="002C4390">
      <w:pPr>
        <w:pStyle w:val="Tablicanotka"/>
        <w:rPr>
          <w:rFonts w:eastAsia="Times New Roman" w:cs="Times New Roman"/>
          <w:b/>
          <w:bCs/>
          <w:noProof w:val="0"/>
          <w:color w:val="001D77"/>
          <w:spacing w:val="0"/>
          <w:sz w:val="19"/>
          <w:szCs w:val="19"/>
          <w:lang w:eastAsia="pl-PL"/>
        </w:rPr>
      </w:pPr>
    </w:p>
    <w:p w:rsidR="00DC05A6" w:rsidRDefault="00DC05A6" w:rsidP="002C4390">
      <w:pPr>
        <w:pStyle w:val="Tablicanotka"/>
        <w:rPr>
          <w:rFonts w:eastAsia="Times New Roman" w:cs="Times New Roman"/>
          <w:b/>
          <w:bCs/>
          <w:noProof w:val="0"/>
          <w:color w:val="001D77"/>
          <w:spacing w:val="0"/>
          <w:sz w:val="19"/>
          <w:szCs w:val="19"/>
          <w:lang w:eastAsia="pl-PL"/>
        </w:rPr>
      </w:pPr>
    </w:p>
    <w:p w:rsidR="00DC05A6" w:rsidRDefault="00DC05A6" w:rsidP="002C4390">
      <w:pPr>
        <w:pStyle w:val="Tablicanotka"/>
        <w:rPr>
          <w:rFonts w:eastAsia="Times New Roman" w:cs="Times New Roman"/>
          <w:b/>
          <w:bCs/>
          <w:noProof w:val="0"/>
          <w:color w:val="001D77"/>
          <w:spacing w:val="0"/>
          <w:sz w:val="19"/>
          <w:szCs w:val="19"/>
          <w:lang w:eastAsia="pl-PL"/>
        </w:rPr>
      </w:pPr>
    </w:p>
    <w:p w:rsidR="004A6296" w:rsidRPr="00932C98" w:rsidRDefault="004A6296" w:rsidP="002C4390">
      <w:pPr>
        <w:pStyle w:val="Tablicanotka"/>
        <w:rPr>
          <w:rFonts w:eastAsia="Times New Roman" w:cs="Times New Roman"/>
          <w:b/>
          <w:bCs/>
          <w:noProof w:val="0"/>
          <w:color w:val="001D77"/>
          <w:spacing w:val="0"/>
          <w:sz w:val="19"/>
          <w:szCs w:val="19"/>
          <w:lang w:eastAsia="pl-PL"/>
        </w:rPr>
      </w:pPr>
      <w:r w:rsidRPr="00932C98">
        <w:rPr>
          <w:rFonts w:eastAsia="Times New Roman" w:cs="Times New Roman"/>
          <w:b/>
          <w:bCs/>
          <w:noProof w:val="0"/>
          <w:color w:val="001D77"/>
          <w:spacing w:val="0"/>
          <w:sz w:val="19"/>
          <w:szCs w:val="19"/>
          <w:lang w:eastAsia="pl-PL"/>
        </w:rPr>
        <w:lastRenderedPageBreak/>
        <w:t xml:space="preserve">Mieszkania i budynki </w:t>
      </w:r>
    </w:p>
    <w:p w:rsidR="00C2288C" w:rsidRPr="003F5622" w:rsidRDefault="00F92615" w:rsidP="00C440B4">
      <w:pPr>
        <w:pBdr>
          <w:right w:val="single" w:sz="4" w:space="4" w:color="001D77"/>
        </w:pBdr>
        <w:spacing w:line="288" w:lineRule="auto"/>
        <w:rPr>
          <w:shd w:val="clear" w:color="auto" w:fill="FFFFFF"/>
        </w:rPr>
      </w:pPr>
      <w:r w:rsidRPr="003F5622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4875A21E" wp14:editId="63D94278">
                <wp:simplePos x="0" y="0"/>
                <wp:positionH relativeFrom="page">
                  <wp:posOffset>5825490</wp:posOffset>
                </wp:positionH>
                <wp:positionV relativeFrom="page">
                  <wp:posOffset>1831340</wp:posOffset>
                </wp:positionV>
                <wp:extent cx="1725295" cy="906780"/>
                <wp:effectExtent l="0" t="0" r="0" b="0"/>
                <wp:wrapTight wrapText="bothSides">
                  <wp:wrapPolygon edited="0">
                    <wp:start x="715" y="0"/>
                    <wp:lineTo x="715" y="20874"/>
                    <wp:lineTo x="20749" y="20874"/>
                    <wp:lineTo x="20749" y="0"/>
                    <wp:lineTo x="715" y="0"/>
                  </wp:wrapPolygon>
                </wp:wrapTight>
                <wp:docPr id="16" name="Pole tekstowe 16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AF5" w:rsidRPr="0005491A" w:rsidRDefault="00805648" w:rsidP="00272AF5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W porównaniu do </w:t>
                            </w:r>
                            <w:r w:rsidR="003508CA">
                              <w:t xml:space="preserve">wyników </w:t>
                            </w:r>
                            <w:r>
                              <w:t xml:space="preserve">NSP 2011 odnotowano wzrost liczby mieszkań o </w:t>
                            </w:r>
                            <w:r w:rsidR="00DB621E">
                              <w:t>17,3</w:t>
                            </w:r>
                            <w: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5A21E" id="Pole tekstowe 16" o:spid="_x0000_s1029" type="#_x0000_t202" alt="Lorem ipsum dolor sit amet, consectetur adipiscing elit" style="position:absolute;margin-left:458.7pt;margin-top:144.2pt;width:135.85pt;height:71.4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" filled="f" stroked="f">
                <v:textbox>
                  <w:txbxContent>
                    <w:p w:rsidR="00272AF5" w:rsidRPr="0005491A" w:rsidRDefault="00805648" w:rsidP="00272AF5">
                      <w:pPr>
                        <w:pStyle w:val="tekstzboku"/>
                        <w:spacing w:before="0"/>
                      </w:pPr>
                      <w:r>
                        <w:t xml:space="preserve">W porównaniu do </w:t>
                      </w:r>
                      <w:r w:rsidR="003508CA">
                        <w:t xml:space="preserve">wyników </w:t>
                      </w:r>
                      <w:r>
                        <w:t xml:space="preserve">NSP 2011 odnotowano wzrost liczby mieszkań o </w:t>
                      </w:r>
                      <w:r w:rsidR="00DB621E">
                        <w:t>17,3</w:t>
                      </w:r>
                      <w:r>
                        <w:t>%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B3A04" w:rsidRPr="003F5622">
        <w:rPr>
          <w:shd w:val="clear" w:color="auto" w:fill="FFFFFF"/>
        </w:rPr>
        <w:t xml:space="preserve">Według </w:t>
      </w:r>
      <w:r w:rsidR="008B3A04" w:rsidRPr="003F5622">
        <w:t>wyników Narodowego</w:t>
      </w:r>
      <w:r w:rsidR="008B3A04" w:rsidRPr="003F5622">
        <w:rPr>
          <w:shd w:val="clear" w:color="auto" w:fill="FFFFFF"/>
        </w:rPr>
        <w:t xml:space="preserve"> Spisu Powszechnego Ludności i Mieszkań, na dzień 31 marca 2021 r. w województwie dolnośląskim zostało spisanych 1260,4 tys. mieszkań, </w:t>
      </w:r>
      <w:r w:rsidR="00EB1711" w:rsidRPr="003F5622">
        <w:rPr>
          <w:shd w:val="clear" w:color="auto" w:fill="FFFFFF"/>
        </w:rPr>
        <w:t xml:space="preserve">tj. </w:t>
      </w:r>
      <w:r w:rsidR="008B3A04" w:rsidRPr="003F5622">
        <w:rPr>
          <w:shd w:val="clear" w:color="auto" w:fill="FFFFFF"/>
        </w:rPr>
        <w:t>o 17,3% więcej niż w spisie w 2011 r</w:t>
      </w:r>
      <w:r w:rsidR="00272AF5" w:rsidRPr="003F5622">
        <w:rPr>
          <w:shd w:val="clear" w:color="auto" w:fill="FFFFFF"/>
        </w:rPr>
        <w:t>.</w:t>
      </w:r>
      <w:r w:rsidR="00CB651D" w:rsidRPr="003F5622">
        <w:rPr>
          <w:shd w:val="clear" w:color="auto" w:fill="FFFFFF"/>
        </w:rPr>
        <w:t xml:space="preserve"> </w:t>
      </w:r>
      <w:r w:rsidR="00262E12" w:rsidRPr="003F5622">
        <w:rPr>
          <w:shd w:val="clear" w:color="auto" w:fill="FFFFFF"/>
        </w:rPr>
        <w:t>W NSP 2021 w województwie dolnośląskim spisano</w:t>
      </w:r>
      <w:r w:rsidR="00CB651D" w:rsidRPr="003F5622">
        <w:rPr>
          <w:shd w:val="clear" w:color="auto" w:fill="FFFFFF"/>
        </w:rPr>
        <w:t xml:space="preserve"> 436,8 ty</w:t>
      </w:r>
      <w:r w:rsidR="008C274A">
        <w:rPr>
          <w:shd w:val="clear" w:color="auto" w:fill="FFFFFF"/>
        </w:rPr>
        <w:t>s.</w:t>
      </w:r>
      <w:r w:rsidR="00CB651D" w:rsidRPr="003F5622">
        <w:rPr>
          <w:shd w:val="clear" w:color="auto" w:fill="FFFFFF"/>
        </w:rPr>
        <w:t xml:space="preserve"> budynków, a ich liczba zwiększyła się w porównaniu z poprzednim spisem o 19,3%.</w:t>
      </w:r>
    </w:p>
    <w:p w:rsidR="00CB651D" w:rsidRPr="003F5622" w:rsidRDefault="001A0ACA" w:rsidP="00C440B4">
      <w:pPr>
        <w:pBdr>
          <w:right w:val="single" w:sz="4" w:space="4" w:color="001D77"/>
        </w:pBdr>
        <w:spacing w:line="288" w:lineRule="auto"/>
        <w:rPr>
          <w:shd w:val="clear" w:color="auto" w:fill="FFFFFF"/>
        </w:rPr>
      </w:pPr>
      <w:r w:rsidRPr="003F5622">
        <w:rPr>
          <w:shd w:val="clear" w:color="auto" w:fill="FFFFFF"/>
        </w:rPr>
        <w:t xml:space="preserve">Na obszarach miejskich </w:t>
      </w:r>
      <w:r w:rsidR="007458F7" w:rsidRPr="003F5622">
        <w:rPr>
          <w:shd w:val="clear" w:color="auto" w:fill="FFFFFF"/>
        </w:rPr>
        <w:t>spisanych zostało 940,0 tys. mieszkań (</w:t>
      </w:r>
      <w:r w:rsidR="00E65214">
        <w:t>co stanowiło blisko 75% ogółu mieszkań w województwie)</w:t>
      </w:r>
      <w:r w:rsidR="00E65214" w:rsidRPr="003F5622">
        <w:rPr>
          <w:shd w:val="clear" w:color="auto" w:fill="FFFFFF"/>
        </w:rPr>
        <w:t xml:space="preserve"> </w:t>
      </w:r>
      <w:r w:rsidR="007458F7" w:rsidRPr="003F5622">
        <w:rPr>
          <w:shd w:val="clear" w:color="auto" w:fill="FFFFFF"/>
        </w:rPr>
        <w:t>i było ich więcej</w:t>
      </w:r>
      <w:r w:rsidR="00E65214">
        <w:rPr>
          <w:shd w:val="clear" w:color="auto" w:fill="FFFFFF"/>
        </w:rPr>
        <w:t xml:space="preserve"> o 16,6% niż w 2011 r.</w:t>
      </w:r>
    </w:p>
    <w:p w:rsidR="007458F7" w:rsidRPr="003F5622" w:rsidRDefault="007458F7" w:rsidP="00C440B4">
      <w:pPr>
        <w:pBdr>
          <w:right w:val="single" w:sz="4" w:space="4" w:color="001D77"/>
        </w:pBdr>
        <w:spacing w:line="288" w:lineRule="auto"/>
        <w:rPr>
          <w:shd w:val="clear" w:color="auto" w:fill="FFFFFF"/>
        </w:rPr>
      </w:pPr>
      <w:r w:rsidRPr="003F5622">
        <w:rPr>
          <w:shd w:val="clear" w:color="auto" w:fill="FFFFFF"/>
        </w:rPr>
        <w:t>Najwięcej mieszkań znajdowało się na terenie Wrocławia – 363,4 tys. (28,8% mieszkań w wo</w:t>
      </w:r>
      <w:r w:rsidR="008C274A">
        <w:rPr>
          <w:shd w:val="clear" w:color="auto" w:fill="FFFFFF"/>
        </w:rPr>
        <w:t>jewództwie), w Wałbrzychu – 51,</w:t>
      </w:r>
      <w:r w:rsidRPr="003F5622">
        <w:rPr>
          <w:shd w:val="clear" w:color="auto" w:fill="FFFFFF"/>
        </w:rPr>
        <w:t xml:space="preserve">0 tys. mieszkań (4,0%) i w Legnicy – 44,1 tys. (3,5%). </w:t>
      </w:r>
    </w:p>
    <w:p w:rsidR="007458F7" w:rsidRPr="003F5622" w:rsidRDefault="007458F7" w:rsidP="00C440B4">
      <w:pPr>
        <w:pBdr>
          <w:right w:val="single" w:sz="4" w:space="4" w:color="001D77"/>
        </w:pBdr>
        <w:spacing w:line="288" w:lineRule="auto"/>
        <w:rPr>
          <w:shd w:val="clear" w:color="auto" w:fill="FFFFFF"/>
        </w:rPr>
      </w:pPr>
      <w:r w:rsidRPr="003F5622">
        <w:rPr>
          <w:shd w:val="clear" w:color="auto" w:fill="FFFFFF"/>
        </w:rPr>
        <w:t xml:space="preserve">W porównaniu z NSP 2011 najwięcej mieszkań przybyło we Wrocławiu (o 33,1%) oraz w Polkowicach i Złotoryi (odpowiednio </w:t>
      </w:r>
      <w:r w:rsidR="00E65214">
        <w:rPr>
          <w:shd w:val="clear" w:color="auto" w:fill="FFFFFF"/>
        </w:rPr>
        <w:t xml:space="preserve">wzrost </w:t>
      </w:r>
      <w:r w:rsidRPr="003F5622">
        <w:rPr>
          <w:shd w:val="clear" w:color="auto" w:fill="FFFFFF"/>
        </w:rPr>
        <w:t xml:space="preserve">o 24,6% i o 24,3%). </w:t>
      </w:r>
    </w:p>
    <w:p w:rsidR="009F5A88" w:rsidRDefault="009F5A88" w:rsidP="00C440B4">
      <w:pPr>
        <w:pBdr>
          <w:right w:val="single" w:sz="4" w:space="4" w:color="001D77"/>
        </w:pBdr>
        <w:spacing w:line="288" w:lineRule="auto"/>
        <w:rPr>
          <w:shd w:val="clear" w:color="auto" w:fill="FFFFFF"/>
        </w:rPr>
      </w:pPr>
      <w:r w:rsidRPr="003F5622">
        <w:rPr>
          <w:shd w:val="clear" w:color="auto" w:fill="FFFFFF"/>
        </w:rPr>
        <w:t>Najmniej mieszkań</w:t>
      </w:r>
      <w:r w:rsidR="003F5622" w:rsidRPr="003F5622">
        <w:rPr>
          <w:shd w:val="clear" w:color="auto" w:fill="FFFFFF"/>
        </w:rPr>
        <w:t xml:space="preserve"> spisanych </w:t>
      </w:r>
      <w:r w:rsidRPr="003F5622">
        <w:rPr>
          <w:shd w:val="clear" w:color="auto" w:fill="FFFFFF"/>
        </w:rPr>
        <w:t>było w gminie wiejskiej Platerówka – 547 mieszkań (0,04% mieszkań w województwie dolnośląskim).</w:t>
      </w:r>
    </w:p>
    <w:p w:rsidR="00272AF5" w:rsidRPr="00224070" w:rsidRDefault="00272AF5" w:rsidP="00224070">
      <w:pPr>
        <w:spacing w:before="360"/>
        <w:rPr>
          <w:rFonts w:eastAsia="Fira Sans" w:cs="Fira Sans"/>
          <w:b/>
          <w:i/>
          <w:color w:val="7F7F7F" w:themeColor="text1" w:themeTint="80"/>
        </w:rPr>
      </w:pPr>
      <w:r w:rsidRPr="00224070">
        <w:rPr>
          <w:b/>
          <w:shd w:val="clear" w:color="auto" w:fill="FFFFFF"/>
        </w:rPr>
        <w:t>Tablica</w:t>
      </w:r>
      <w:r w:rsidR="009A6981">
        <w:rPr>
          <w:b/>
          <w:shd w:val="clear" w:color="auto" w:fill="FFFFFF"/>
        </w:rPr>
        <w:t xml:space="preserve"> 2.</w:t>
      </w:r>
      <w:r w:rsidRPr="00224070">
        <w:rPr>
          <w:b/>
          <w:shd w:val="clear" w:color="auto" w:fill="FFFFFF"/>
        </w:rPr>
        <w:t xml:space="preserve"> Mieszkania i budynki (stan w dniu 31 marca)</w:t>
      </w:r>
    </w:p>
    <w:tbl>
      <w:tblPr>
        <w:tblW w:w="7792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Mieszkania i budynki (stan w dniu 31 marca)"/>
        <w:tblDescription w:val="Podstawowe dane o mieszkaniach i budynkach z Narodowego Spisu Powszechnego z lat 2011 i 2021 z podziałem na dane ogółem i w miastach."/>
      </w:tblPr>
      <w:tblGrid>
        <w:gridCol w:w="3538"/>
        <w:gridCol w:w="1418"/>
        <w:gridCol w:w="1418"/>
        <w:gridCol w:w="1418"/>
      </w:tblGrid>
      <w:tr w:rsidR="00272AF5" w:rsidRPr="006D0F72" w:rsidTr="00CB651D">
        <w:trPr>
          <w:trHeight w:val="300"/>
        </w:trPr>
        <w:tc>
          <w:tcPr>
            <w:tcW w:w="3538" w:type="dxa"/>
            <w:vMerge w:val="restart"/>
            <w:shd w:val="clear" w:color="auto" w:fill="auto"/>
            <w:noWrap/>
            <w:vAlign w:val="center"/>
            <w:hideMark/>
          </w:tcPr>
          <w:p w:rsidR="00272AF5" w:rsidRPr="006D0F72" w:rsidRDefault="00272AF5" w:rsidP="00772CB3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6D0F72">
              <w:rPr>
                <w:rFonts w:eastAsia="Times New Roman" w:cs="Calibri"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72AF5" w:rsidRPr="006D0F72" w:rsidRDefault="00272AF5" w:rsidP="00772CB3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6D0F72">
              <w:rPr>
                <w:rFonts w:eastAsia="Times New Roman" w:cs="Calibri"/>
                <w:color w:val="000000"/>
                <w:szCs w:val="19"/>
                <w:lang w:eastAsia="pl-PL"/>
              </w:rPr>
              <w:t>20</w:t>
            </w: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11</w:t>
            </w:r>
          </w:p>
        </w:tc>
        <w:tc>
          <w:tcPr>
            <w:tcW w:w="2836" w:type="dxa"/>
            <w:gridSpan w:val="2"/>
            <w:shd w:val="clear" w:color="auto" w:fill="auto"/>
            <w:vAlign w:val="bottom"/>
          </w:tcPr>
          <w:p w:rsidR="00272AF5" w:rsidRPr="006D0F72" w:rsidRDefault="00272AF5" w:rsidP="00772CB3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2021</w:t>
            </w:r>
          </w:p>
        </w:tc>
      </w:tr>
      <w:tr w:rsidR="00272AF5" w:rsidRPr="006D0F72" w:rsidTr="00CB651D">
        <w:trPr>
          <w:trHeight w:val="300"/>
        </w:trPr>
        <w:tc>
          <w:tcPr>
            <w:tcW w:w="3538" w:type="dxa"/>
            <w:vMerge/>
            <w:vAlign w:val="center"/>
            <w:hideMark/>
          </w:tcPr>
          <w:p w:rsidR="00272AF5" w:rsidRPr="006D0F72" w:rsidRDefault="00272AF5" w:rsidP="00772CB3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2836" w:type="dxa"/>
            <w:gridSpan w:val="2"/>
            <w:shd w:val="clear" w:color="auto" w:fill="auto"/>
            <w:noWrap/>
            <w:vAlign w:val="bottom"/>
          </w:tcPr>
          <w:p w:rsidR="00272AF5" w:rsidRPr="006D0F72" w:rsidRDefault="00272AF5" w:rsidP="00772CB3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W tys</w:t>
            </w:r>
            <w:r w:rsidR="00586183"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72AF5" w:rsidRPr="006D0F72" w:rsidRDefault="00272AF5" w:rsidP="00772CB3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2011=100</w:t>
            </w:r>
          </w:p>
        </w:tc>
      </w:tr>
      <w:tr w:rsidR="00DB621E" w:rsidRPr="006D0F72" w:rsidTr="00CB651D">
        <w:trPr>
          <w:trHeight w:val="300"/>
        </w:trPr>
        <w:tc>
          <w:tcPr>
            <w:tcW w:w="3538" w:type="dxa"/>
            <w:shd w:val="clear" w:color="auto" w:fill="auto"/>
            <w:noWrap/>
            <w:vAlign w:val="bottom"/>
            <w:hideMark/>
          </w:tcPr>
          <w:p w:rsidR="00DB621E" w:rsidRPr="003F5622" w:rsidRDefault="00DB621E" w:rsidP="00DB621E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3F5622">
              <w:rPr>
                <w:rFonts w:eastAsia="Times New Roman" w:cs="Calibri"/>
                <w:color w:val="000000"/>
                <w:szCs w:val="19"/>
                <w:lang w:eastAsia="pl-PL"/>
              </w:rPr>
              <w:t>Mieszkania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DB621E" w:rsidRPr="003F5622" w:rsidRDefault="00DB621E" w:rsidP="00E65214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3F5622">
              <w:rPr>
                <w:rFonts w:eastAsia="Times New Roman" w:cs="Calibri"/>
                <w:color w:val="000000"/>
                <w:szCs w:val="19"/>
                <w:lang w:eastAsia="pl-PL"/>
              </w:rPr>
              <w:t>1074</w:t>
            </w:r>
            <w:r w:rsidR="00E65214">
              <w:rPr>
                <w:rFonts w:eastAsia="Times New Roman" w:cs="Calibri"/>
                <w:color w:val="000000"/>
                <w:szCs w:val="19"/>
                <w:lang w:eastAsia="pl-PL"/>
              </w:rPr>
              <w:t>,</w:t>
            </w:r>
            <w:r w:rsidRPr="003F5622">
              <w:rPr>
                <w:rFonts w:eastAsia="Times New Roman" w:cs="Calibri"/>
                <w:color w:val="000000"/>
                <w:szCs w:val="19"/>
                <w:lang w:eastAsia="pl-PL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DB621E" w:rsidRPr="003F5622" w:rsidRDefault="00DB621E" w:rsidP="00E6521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3F5622">
              <w:rPr>
                <w:rFonts w:eastAsia="Times New Roman" w:cs="Calibri"/>
                <w:color w:val="000000"/>
                <w:szCs w:val="19"/>
                <w:lang w:eastAsia="pl-PL"/>
              </w:rPr>
              <w:t>1260</w:t>
            </w:r>
            <w:r w:rsidR="00E65214">
              <w:rPr>
                <w:rFonts w:eastAsia="Times New Roman" w:cs="Calibri"/>
                <w:color w:val="000000"/>
                <w:szCs w:val="19"/>
                <w:lang w:eastAsia="pl-PL"/>
              </w:rPr>
              <w:t>,</w:t>
            </w:r>
            <w:r w:rsidRPr="003F5622">
              <w:rPr>
                <w:rFonts w:eastAsia="Times New Roman" w:cs="Calibri"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DB621E" w:rsidRPr="003F5622" w:rsidRDefault="00DB621E" w:rsidP="00DB621E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3F5622">
              <w:rPr>
                <w:rFonts w:eastAsia="Times New Roman" w:cs="Calibri"/>
                <w:color w:val="000000"/>
                <w:szCs w:val="19"/>
                <w:lang w:eastAsia="pl-PL"/>
              </w:rPr>
              <w:t>117,3</w:t>
            </w:r>
          </w:p>
        </w:tc>
      </w:tr>
      <w:tr w:rsidR="00DB621E" w:rsidRPr="006D0F72" w:rsidTr="00CB651D">
        <w:trPr>
          <w:trHeight w:val="300"/>
        </w:trPr>
        <w:tc>
          <w:tcPr>
            <w:tcW w:w="3538" w:type="dxa"/>
            <w:shd w:val="clear" w:color="auto" w:fill="auto"/>
            <w:noWrap/>
            <w:vAlign w:val="bottom"/>
          </w:tcPr>
          <w:p w:rsidR="00DB621E" w:rsidRPr="003F5622" w:rsidRDefault="0098721D" w:rsidP="00DB621E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 xml:space="preserve">    </w:t>
            </w:r>
            <w:r w:rsidR="008C274A">
              <w:rPr>
                <w:rFonts w:eastAsia="Times New Roman" w:cs="Calibri"/>
                <w:color w:val="000000"/>
                <w:szCs w:val="19"/>
                <w:lang w:eastAsia="pl-PL"/>
              </w:rPr>
              <w:t>w tym miasta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DB621E" w:rsidRPr="003F5622" w:rsidRDefault="00DB621E" w:rsidP="00E6521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3F5622">
              <w:rPr>
                <w:rFonts w:eastAsia="Times New Roman" w:cs="Calibri"/>
                <w:color w:val="000000"/>
                <w:szCs w:val="19"/>
                <w:lang w:eastAsia="pl-PL"/>
              </w:rPr>
              <w:t>805</w:t>
            </w:r>
            <w:r w:rsidR="00E65214">
              <w:rPr>
                <w:rFonts w:eastAsia="Times New Roman" w:cs="Calibri"/>
                <w:color w:val="000000"/>
                <w:szCs w:val="19"/>
                <w:lang w:eastAsia="pl-PL"/>
              </w:rPr>
              <w:t>,</w:t>
            </w:r>
            <w:r w:rsidRPr="003F5622">
              <w:rPr>
                <w:rFonts w:eastAsia="Times New Roman" w:cs="Calibri"/>
                <w:color w:val="000000"/>
                <w:szCs w:val="19"/>
                <w:lang w:eastAsia="pl-PL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DB621E" w:rsidRPr="003F5622" w:rsidRDefault="00DB621E" w:rsidP="00E6521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3F5622">
              <w:rPr>
                <w:rFonts w:eastAsia="Times New Roman" w:cs="Calibri"/>
                <w:color w:val="000000"/>
                <w:szCs w:val="19"/>
                <w:lang w:eastAsia="pl-PL"/>
              </w:rPr>
              <w:t>9</w:t>
            </w:r>
            <w:r w:rsidR="00E65214">
              <w:rPr>
                <w:rFonts w:eastAsia="Times New Roman" w:cs="Calibri"/>
                <w:color w:val="000000"/>
                <w:szCs w:val="19"/>
                <w:lang w:eastAsia="pl-PL"/>
              </w:rPr>
              <w:t>40,0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DB621E" w:rsidRPr="003F5622" w:rsidRDefault="00DB621E" w:rsidP="00DB621E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3F5622">
              <w:rPr>
                <w:rFonts w:eastAsia="Times New Roman" w:cs="Calibri"/>
                <w:color w:val="000000"/>
                <w:szCs w:val="19"/>
                <w:lang w:eastAsia="pl-PL"/>
              </w:rPr>
              <w:t>116,6</w:t>
            </w:r>
          </w:p>
        </w:tc>
      </w:tr>
      <w:tr w:rsidR="00DB621E" w:rsidRPr="006D0F72" w:rsidTr="00CB651D">
        <w:trPr>
          <w:trHeight w:val="300"/>
        </w:trPr>
        <w:tc>
          <w:tcPr>
            <w:tcW w:w="3538" w:type="dxa"/>
            <w:shd w:val="clear" w:color="auto" w:fill="auto"/>
            <w:noWrap/>
            <w:vAlign w:val="bottom"/>
            <w:hideMark/>
          </w:tcPr>
          <w:p w:rsidR="00DB621E" w:rsidRPr="003F5622" w:rsidRDefault="00DB621E" w:rsidP="00DB621E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3F5622">
              <w:rPr>
                <w:rFonts w:eastAsia="Times New Roman" w:cs="Calibri"/>
                <w:color w:val="000000"/>
                <w:szCs w:val="19"/>
                <w:lang w:eastAsia="pl-PL"/>
              </w:rPr>
              <w:t>Budynki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DB621E" w:rsidRPr="003F5622" w:rsidRDefault="00DB621E" w:rsidP="00E6521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3F5622">
              <w:rPr>
                <w:rFonts w:eastAsia="Times New Roman" w:cs="Calibri"/>
                <w:color w:val="000000"/>
                <w:szCs w:val="19"/>
                <w:lang w:eastAsia="pl-PL"/>
              </w:rPr>
              <w:t>366</w:t>
            </w:r>
            <w:r w:rsidR="00E65214">
              <w:rPr>
                <w:rFonts w:eastAsia="Times New Roman" w:cs="Calibri"/>
                <w:color w:val="000000"/>
                <w:szCs w:val="19"/>
                <w:lang w:eastAsia="pl-PL"/>
              </w:rPr>
              <w:t>,1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DB621E" w:rsidRPr="003F5622" w:rsidRDefault="00DB621E" w:rsidP="00E6521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3F5622">
              <w:rPr>
                <w:rFonts w:eastAsia="Times New Roman" w:cs="Calibri"/>
                <w:color w:val="000000"/>
                <w:szCs w:val="19"/>
                <w:lang w:eastAsia="pl-PL"/>
              </w:rPr>
              <w:t>436</w:t>
            </w:r>
            <w:r w:rsidR="00E65214">
              <w:rPr>
                <w:rFonts w:eastAsia="Times New Roman" w:cs="Calibri"/>
                <w:color w:val="000000"/>
                <w:szCs w:val="19"/>
                <w:lang w:eastAsia="pl-PL"/>
              </w:rPr>
              <w:t>,8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DB621E" w:rsidRPr="003F5622" w:rsidRDefault="00DB621E" w:rsidP="00DB621E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3F5622">
              <w:rPr>
                <w:rFonts w:eastAsia="Times New Roman" w:cs="Calibri"/>
                <w:color w:val="000000"/>
                <w:szCs w:val="19"/>
                <w:lang w:eastAsia="pl-PL"/>
              </w:rPr>
              <w:t>119,3</w:t>
            </w:r>
          </w:p>
        </w:tc>
      </w:tr>
      <w:tr w:rsidR="00DB621E" w:rsidRPr="006D0F72" w:rsidTr="00CB651D">
        <w:trPr>
          <w:trHeight w:val="300"/>
        </w:trPr>
        <w:tc>
          <w:tcPr>
            <w:tcW w:w="3538" w:type="dxa"/>
            <w:shd w:val="clear" w:color="auto" w:fill="auto"/>
            <w:noWrap/>
            <w:vAlign w:val="bottom"/>
          </w:tcPr>
          <w:p w:rsidR="00DB621E" w:rsidRPr="003F5622" w:rsidRDefault="008C274A" w:rsidP="00DB621E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 xml:space="preserve">    w tym miasta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DB621E" w:rsidRPr="003F5622" w:rsidRDefault="00DB621E" w:rsidP="00E6521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3F5622">
              <w:rPr>
                <w:rFonts w:eastAsia="Times New Roman" w:cs="Calibri"/>
                <w:color w:val="000000"/>
                <w:szCs w:val="19"/>
                <w:lang w:eastAsia="pl-PL"/>
              </w:rPr>
              <w:t>182</w:t>
            </w:r>
            <w:r w:rsidR="00E65214">
              <w:rPr>
                <w:rFonts w:eastAsia="Times New Roman" w:cs="Calibri"/>
                <w:color w:val="000000"/>
                <w:szCs w:val="19"/>
                <w:lang w:eastAsia="pl-PL"/>
              </w:rPr>
              <w:t>,</w:t>
            </w:r>
            <w:r w:rsidRPr="003F5622">
              <w:rPr>
                <w:rFonts w:eastAsia="Times New Roman" w:cs="Calibri"/>
                <w:color w:val="000000"/>
                <w:szCs w:val="19"/>
                <w:lang w:eastAsia="pl-PL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DB621E" w:rsidRPr="003F5622" w:rsidRDefault="00DB621E" w:rsidP="00E6521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3F5622">
              <w:rPr>
                <w:rFonts w:eastAsia="Times New Roman" w:cs="Calibri"/>
                <w:color w:val="000000"/>
                <w:szCs w:val="19"/>
                <w:lang w:eastAsia="pl-PL"/>
              </w:rPr>
              <w:t>202</w:t>
            </w:r>
            <w:r w:rsidR="00E65214">
              <w:rPr>
                <w:rFonts w:eastAsia="Times New Roman" w:cs="Calibri"/>
                <w:color w:val="000000"/>
                <w:szCs w:val="19"/>
                <w:lang w:eastAsia="pl-PL"/>
              </w:rPr>
              <w:t>,6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DB621E" w:rsidRPr="003F5622" w:rsidRDefault="00DB621E" w:rsidP="00DB621E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3F5622">
              <w:rPr>
                <w:rFonts w:eastAsia="Times New Roman" w:cs="Calibri"/>
                <w:color w:val="000000"/>
                <w:szCs w:val="19"/>
                <w:lang w:eastAsia="pl-PL"/>
              </w:rPr>
              <w:t>110,9</w:t>
            </w:r>
          </w:p>
        </w:tc>
      </w:tr>
    </w:tbl>
    <w:p w:rsidR="00262E12" w:rsidRDefault="00262E12" w:rsidP="007458F7">
      <w:pPr>
        <w:pBdr>
          <w:right w:val="single" w:sz="4" w:space="4" w:color="001D77"/>
        </w:pBdr>
        <w:spacing w:line="288" w:lineRule="auto"/>
        <w:rPr>
          <w:highlight w:val="cyan"/>
          <w:shd w:val="clear" w:color="auto" w:fill="FFFFFF"/>
        </w:rPr>
      </w:pPr>
    </w:p>
    <w:p w:rsidR="007458F7" w:rsidRPr="003F5622" w:rsidRDefault="00262E12" w:rsidP="007458F7">
      <w:pPr>
        <w:pBdr>
          <w:right w:val="single" w:sz="4" w:space="4" w:color="001D77"/>
        </w:pBdr>
        <w:spacing w:line="288" w:lineRule="auto"/>
        <w:rPr>
          <w:shd w:val="clear" w:color="auto" w:fill="FFFFFF"/>
        </w:rPr>
      </w:pPr>
      <w:r w:rsidRPr="003F5622">
        <w:rPr>
          <w:shd w:val="clear" w:color="auto" w:fill="FFFFFF"/>
        </w:rPr>
        <w:t>Według danych z NSP 2021 na terenie województwa dolnośląskiego najwięcej budynków spisano</w:t>
      </w:r>
      <w:r w:rsidR="008C274A">
        <w:rPr>
          <w:shd w:val="clear" w:color="auto" w:fill="FFFFFF"/>
        </w:rPr>
        <w:t xml:space="preserve"> we Wrocławiu – 55,6 tys. (12,7</w:t>
      </w:r>
      <w:r w:rsidRPr="003F5622">
        <w:rPr>
          <w:shd w:val="clear" w:color="auto" w:fill="FFFFFF"/>
        </w:rPr>
        <w:t>% budynkó</w:t>
      </w:r>
      <w:r w:rsidR="003F5622" w:rsidRPr="003F5622">
        <w:rPr>
          <w:shd w:val="clear" w:color="auto" w:fill="FFFFFF"/>
        </w:rPr>
        <w:t xml:space="preserve">w spisanych w województwie) i w </w:t>
      </w:r>
      <w:r w:rsidRPr="003F5622">
        <w:rPr>
          <w:shd w:val="clear" w:color="auto" w:fill="FFFFFF"/>
        </w:rPr>
        <w:t xml:space="preserve">Długołęce – 11,7 tys. (2,7%). Najmniej budynków spisano w gminach: Wojcieszów </w:t>
      </w:r>
      <w:r w:rsidR="00CC5570" w:rsidRPr="003F5622">
        <w:rPr>
          <w:shd w:val="clear" w:color="auto" w:fill="FFFFFF"/>
        </w:rPr>
        <w:t>–</w:t>
      </w:r>
      <w:r w:rsidRPr="003F5622">
        <w:rPr>
          <w:shd w:val="clear" w:color="auto" w:fill="FFFFFF"/>
        </w:rPr>
        <w:t xml:space="preserve"> </w:t>
      </w:r>
      <w:r w:rsidR="00CC5570" w:rsidRPr="003F5622">
        <w:rPr>
          <w:shd w:val="clear" w:color="auto" w:fill="FFFFFF"/>
        </w:rPr>
        <w:t>482 budynki</w:t>
      </w:r>
      <w:r w:rsidRPr="003F5622">
        <w:rPr>
          <w:shd w:val="clear" w:color="auto" w:fill="FFFFFF"/>
        </w:rPr>
        <w:t xml:space="preserve">, Platerówka </w:t>
      </w:r>
      <w:r w:rsidR="00CC5570" w:rsidRPr="003F5622">
        <w:rPr>
          <w:shd w:val="clear" w:color="auto" w:fill="FFFFFF"/>
        </w:rPr>
        <w:t xml:space="preserve">– 465 </w:t>
      </w:r>
      <w:r w:rsidRPr="003F5622">
        <w:rPr>
          <w:shd w:val="clear" w:color="auto" w:fill="FFFFFF"/>
        </w:rPr>
        <w:t xml:space="preserve">i Pęcław </w:t>
      </w:r>
      <w:r w:rsidR="00CC5570" w:rsidRPr="003F5622">
        <w:rPr>
          <w:shd w:val="clear" w:color="auto" w:fill="FFFFFF"/>
        </w:rPr>
        <w:t xml:space="preserve">– 455 </w:t>
      </w:r>
      <w:r w:rsidR="006748B6" w:rsidRPr="003F5622">
        <w:rPr>
          <w:shd w:val="clear" w:color="auto" w:fill="FFFFFF"/>
        </w:rPr>
        <w:t>(po 0,1% budy</w:t>
      </w:r>
      <w:r w:rsidR="00CC5570" w:rsidRPr="003F5622">
        <w:rPr>
          <w:shd w:val="clear" w:color="auto" w:fill="FFFFFF"/>
        </w:rPr>
        <w:t>nków województwa).</w:t>
      </w:r>
      <w:r w:rsidRPr="003F5622">
        <w:rPr>
          <w:shd w:val="clear" w:color="auto" w:fill="FFFFFF"/>
        </w:rPr>
        <w:t xml:space="preserve">  </w:t>
      </w:r>
    </w:p>
    <w:p w:rsidR="00262E12" w:rsidRPr="003F5622" w:rsidRDefault="007458F7" w:rsidP="007458F7">
      <w:pPr>
        <w:pBdr>
          <w:right w:val="single" w:sz="4" w:space="4" w:color="001D77"/>
        </w:pBdr>
        <w:spacing w:line="288" w:lineRule="auto"/>
        <w:rPr>
          <w:shd w:val="clear" w:color="auto" w:fill="FFFFFF"/>
        </w:rPr>
      </w:pPr>
      <w:r w:rsidRPr="003F5622">
        <w:rPr>
          <w:shd w:val="clear" w:color="auto" w:fill="FFFFFF"/>
        </w:rPr>
        <w:t xml:space="preserve">Wskaźnik liczby mieszkań </w:t>
      </w:r>
      <w:r w:rsidR="003F5622">
        <w:rPr>
          <w:shd w:val="clear" w:color="auto" w:fill="FFFFFF"/>
        </w:rPr>
        <w:t xml:space="preserve">w przeliczeniu </w:t>
      </w:r>
      <w:r w:rsidRPr="003F5622">
        <w:rPr>
          <w:shd w:val="clear" w:color="auto" w:fill="FFFFFF"/>
        </w:rPr>
        <w:t xml:space="preserve">na 1000 ludności w województwie dolnośląskim </w:t>
      </w:r>
      <w:r w:rsidR="007E47F8">
        <w:rPr>
          <w:shd w:val="clear" w:color="auto" w:fill="FFFFFF"/>
        </w:rPr>
        <w:br/>
      </w:r>
      <w:r w:rsidRPr="003F5622">
        <w:rPr>
          <w:shd w:val="clear" w:color="auto" w:fill="FFFFFF"/>
        </w:rPr>
        <w:t>w NSP 2021 wyni</w:t>
      </w:r>
      <w:r w:rsidR="008C274A">
        <w:rPr>
          <w:shd w:val="clear" w:color="auto" w:fill="FFFFFF"/>
        </w:rPr>
        <w:t xml:space="preserve">ósł 434 i był wyższy niż w 2011 </w:t>
      </w:r>
      <w:r w:rsidRPr="003F5622">
        <w:rPr>
          <w:shd w:val="clear" w:color="auto" w:fill="FFFFFF"/>
        </w:rPr>
        <w:t>r</w:t>
      </w:r>
      <w:r w:rsidR="008C274A">
        <w:rPr>
          <w:shd w:val="clear" w:color="auto" w:fill="FFFFFF"/>
        </w:rPr>
        <w:t>.</w:t>
      </w:r>
      <w:r w:rsidRPr="003F5622">
        <w:rPr>
          <w:shd w:val="clear" w:color="auto" w:fill="FFFFFF"/>
        </w:rPr>
        <w:t xml:space="preserve"> – o 65. </w:t>
      </w:r>
    </w:p>
    <w:p w:rsidR="00262E12" w:rsidRPr="00635AB3" w:rsidRDefault="00635AB3" w:rsidP="00635AB3">
      <w:pPr>
        <w:spacing w:before="0" w:after="0"/>
        <w:rPr>
          <w:rFonts w:eastAsia="Fira Sans" w:cs="Fira Sans"/>
          <w:b/>
          <w:color w:val="000000" w:themeColor="text1"/>
        </w:rPr>
      </w:pPr>
      <w:r w:rsidRPr="00635AB3">
        <w:rPr>
          <w:rFonts w:eastAsia="Fira Sans" w:cs="Fira Sans"/>
          <w:b/>
          <w:color w:val="000000" w:themeColor="text1"/>
        </w:rPr>
        <w:t>Mapa 6</w:t>
      </w:r>
      <w:r>
        <w:rPr>
          <w:rFonts w:eastAsia="Fira Sans" w:cs="Fira Sans"/>
          <w:b/>
          <w:color w:val="000000" w:themeColor="text1"/>
        </w:rPr>
        <w:t>.</w:t>
      </w:r>
      <w:r w:rsidRPr="00635AB3">
        <w:rPr>
          <w:rFonts w:eastAsia="Fira Sans" w:cs="Fira Sans"/>
          <w:b/>
          <w:color w:val="000000" w:themeColor="text1"/>
        </w:rPr>
        <w:t xml:space="preserve"> </w:t>
      </w:r>
      <w:r>
        <w:rPr>
          <w:rFonts w:eastAsia="Fira Sans" w:cs="Fira Sans"/>
          <w:b/>
          <w:color w:val="000000" w:themeColor="text1"/>
        </w:rPr>
        <w:t>Liczba mieszkań</w:t>
      </w:r>
      <w:r w:rsidRPr="00635AB3">
        <w:rPr>
          <w:rFonts w:eastAsia="Fira Sans" w:cs="Fira Sans"/>
          <w:b/>
          <w:color w:val="000000" w:themeColor="text1"/>
        </w:rPr>
        <w:t xml:space="preserve"> w gminach w przeliczeniu na 1000 osób (stan w dniu 31 marca)</w:t>
      </w:r>
    </w:p>
    <w:p w:rsidR="00635AB3" w:rsidRDefault="00F42534" w:rsidP="007458F7">
      <w:pPr>
        <w:pBdr>
          <w:right w:val="single" w:sz="4" w:space="4" w:color="001D77"/>
        </w:pBdr>
        <w:spacing w:line="288" w:lineRule="auto"/>
        <w:rPr>
          <w:highlight w:val="cyan"/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155575</wp:posOffset>
            </wp:positionV>
            <wp:extent cx="5116209" cy="2422525"/>
            <wp:effectExtent l="0" t="0" r="8255" b="0"/>
            <wp:wrapNone/>
            <wp:docPr id="7" name="Obraz 7" descr="Na mapach zaprezentowano liczbę mieszkań przypadającą na 1000 osób w latach 2011 i 2021, w poszczególnych gminach (5 klas natężenia koloru). Dane do mapy dostępne są w załączonym pliku Excel." title="Mapa 6. Liczba mieszkań w gminach w przeliczeniu na 1000 osób (stan w dniu 31 mar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la_mieszkania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209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64C6" w:rsidRDefault="003464C6" w:rsidP="007458F7">
      <w:pPr>
        <w:pBdr>
          <w:right w:val="single" w:sz="4" w:space="4" w:color="001D77"/>
        </w:pBdr>
        <w:spacing w:line="288" w:lineRule="auto"/>
        <w:rPr>
          <w:highlight w:val="cyan"/>
          <w:shd w:val="clear" w:color="auto" w:fill="FFFFFF"/>
        </w:rPr>
      </w:pPr>
    </w:p>
    <w:p w:rsidR="003464C6" w:rsidRDefault="003464C6" w:rsidP="007458F7">
      <w:pPr>
        <w:pBdr>
          <w:right w:val="single" w:sz="4" w:space="4" w:color="001D77"/>
        </w:pBdr>
        <w:spacing w:line="288" w:lineRule="auto"/>
        <w:rPr>
          <w:highlight w:val="cyan"/>
          <w:shd w:val="clear" w:color="auto" w:fill="FFFFFF"/>
        </w:rPr>
      </w:pPr>
    </w:p>
    <w:p w:rsidR="003464C6" w:rsidRDefault="003464C6" w:rsidP="007458F7">
      <w:pPr>
        <w:pBdr>
          <w:right w:val="single" w:sz="4" w:space="4" w:color="001D77"/>
        </w:pBdr>
        <w:spacing w:line="288" w:lineRule="auto"/>
        <w:rPr>
          <w:highlight w:val="cyan"/>
          <w:shd w:val="clear" w:color="auto" w:fill="FFFFFF"/>
        </w:rPr>
      </w:pPr>
    </w:p>
    <w:p w:rsidR="003464C6" w:rsidRDefault="003464C6" w:rsidP="007458F7">
      <w:pPr>
        <w:pBdr>
          <w:right w:val="single" w:sz="4" w:space="4" w:color="001D77"/>
        </w:pBdr>
        <w:spacing w:line="288" w:lineRule="auto"/>
        <w:rPr>
          <w:highlight w:val="cyan"/>
          <w:shd w:val="clear" w:color="auto" w:fill="FFFFFF"/>
        </w:rPr>
      </w:pPr>
    </w:p>
    <w:p w:rsidR="003464C6" w:rsidRDefault="003464C6" w:rsidP="007458F7">
      <w:pPr>
        <w:pBdr>
          <w:right w:val="single" w:sz="4" w:space="4" w:color="001D77"/>
        </w:pBdr>
        <w:spacing w:line="288" w:lineRule="auto"/>
        <w:rPr>
          <w:highlight w:val="cyan"/>
          <w:shd w:val="clear" w:color="auto" w:fill="FFFFFF"/>
        </w:rPr>
      </w:pPr>
    </w:p>
    <w:p w:rsidR="003464C6" w:rsidRDefault="003464C6" w:rsidP="007458F7">
      <w:pPr>
        <w:pBdr>
          <w:right w:val="single" w:sz="4" w:space="4" w:color="001D77"/>
        </w:pBdr>
        <w:spacing w:line="288" w:lineRule="auto"/>
        <w:rPr>
          <w:highlight w:val="cyan"/>
          <w:shd w:val="clear" w:color="auto" w:fill="FFFFFF"/>
        </w:rPr>
      </w:pPr>
    </w:p>
    <w:p w:rsidR="003464C6" w:rsidRDefault="003464C6" w:rsidP="007458F7">
      <w:pPr>
        <w:pBdr>
          <w:right w:val="single" w:sz="4" w:space="4" w:color="001D77"/>
        </w:pBdr>
        <w:spacing w:line="288" w:lineRule="auto"/>
        <w:rPr>
          <w:highlight w:val="cyan"/>
          <w:shd w:val="clear" w:color="auto" w:fill="FFFFFF"/>
        </w:rPr>
      </w:pPr>
    </w:p>
    <w:p w:rsidR="003464C6" w:rsidRDefault="003464C6" w:rsidP="007458F7">
      <w:pPr>
        <w:pBdr>
          <w:right w:val="single" w:sz="4" w:space="4" w:color="001D77"/>
        </w:pBdr>
        <w:spacing w:line="288" w:lineRule="auto"/>
        <w:rPr>
          <w:highlight w:val="cyan"/>
          <w:shd w:val="clear" w:color="auto" w:fill="FFFFFF"/>
        </w:rPr>
      </w:pPr>
    </w:p>
    <w:p w:rsidR="00002100" w:rsidRDefault="00002100" w:rsidP="007458F7">
      <w:pPr>
        <w:pBdr>
          <w:right w:val="single" w:sz="4" w:space="4" w:color="001D77"/>
        </w:pBdr>
        <w:spacing w:line="288" w:lineRule="auto"/>
        <w:rPr>
          <w:highlight w:val="cyan"/>
          <w:shd w:val="clear" w:color="auto" w:fill="FFFFFF"/>
        </w:rPr>
      </w:pPr>
    </w:p>
    <w:p w:rsidR="00002100" w:rsidRDefault="00002100" w:rsidP="007458F7">
      <w:pPr>
        <w:pBdr>
          <w:right w:val="single" w:sz="4" w:space="4" w:color="001D77"/>
        </w:pBdr>
        <w:spacing w:line="288" w:lineRule="auto"/>
        <w:rPr>
          <w:highlight w:val="cyan"/>
          <w:shd w:val="clear" w:color="auto" w:fill="FFFFFF"/>
        </w:rPr>
      </w:pPr>
    </w:p>
    <w:p w:rsidR="00956716" w:rsidRPr="002D756C" w:rsidRDefault="00F61A4A" w:rsidP="007458F7">
      <w:pPr>
        <w:pBdr>
          <w:right w:val="single" w:sz="4" w:space="4" w:color="001D77"/>
        </w:pBdr>
        <w:spacing w:line="288" w:lineRule="auto"/>
        <w:rPr>
          <w:shd w:val="clear" w:color="auto" w:fill="FFFFFF"/>
        </w:rPr>
      </w:pPr>
      <w:r w:rsidRPr="002D756C">
        <w:rPr>
          <w:shd w:val="clear" w:color="auto" w:fill="FFFFFF"/>
        </w:rPr>
        <w:lastRenderedPageBreak/>
        <w:t xml:space="preserve">Najwyższy wskaźnik liczby mieszkań w przeliczeniu na 1000 ludności wystąpił w </w:t>
      </w:r>
      <w:r w:rsidR="00956716" w:rsidRPr="002D756C">
        <w:rPr>
          <w:shd w:val="clear" w:color="auto" w:fill="FFFFFF"/>
        </w:rPr>
        <w:t>Szklarskiej Porębie – 702 i w Karpaczu – 600</w:t>
      </w:r>
      <w:r w:rsidR="00D66606">
        <w:rPr>
          <w:shd w:val="clear" w:color="auto" w:fill="FFFFFF"/>
        </w:rPr>
        <w:t>;</w:t>
      </w:r>
      <w:r w:rsidR="00956716" w:rsidRPr="002D756C">
        <w:rPr>
          <w:shd w:val="clear" w:color="auto" w:fill="FFFFFF"/>
        </w:rPr>
        <w:t xml:space="preserve"> w NSP 2011 te wskaźniki te wynosiły odpowiednio 431 dla Szklar</w:t>
      </w:r>
      <w:r w:rsidR="00487C4C">
        <w:rPr>
          <w:shd w:val="clear" w:color="auto" w:fill="FFFFFF"/>
        </w:rPr>
        <w:t>skiej Poręby i 442 dla Karpacza</w:t>
      </w:r>
      <w:r w:rsidR="00956716" w:rsidRPr="002D756C">
        <w:rPr>
          <w:shd w:val="clear" w:color="auto" w:fill="FFFFFF"/>
        </w:rPr>
        <w:t xml:space="preserve">. Najniższy wskaźnik wystąpił w Jordanowie </w:t>
      </w:r>
      <w:r w:rsidR="00487C4C" w:rsidRPr="002D756C">
        <w:rPr>
          <w:shd w:val="clear" w:color="auto" w:fill="FFFFFF"/>
        </w:rPr>
        <w:t>Ś</w:t>
      </w:r>
      <w:r w:rsidR="00956716" w:rsidRPr="002D756C">
        <w:rPr>
          <w:shd w:val="clear" w:color="auto" w:fill="FFFFFF"/>
        </w:rPr>
        <w:t>ląskim – 283 mieszkania ( w NSP 2011 – 240).</w:t>
      </w:r>
    </w:p>
    <w:p w:rsidR="00C2288C" w:rsidRDefault="00956716" w:rsidP="00F61A4A">
      <w:pPr>
        <w:pBdr>
          <w:right w:val="single" w:sz="4" w:space="4" w:color="001D77"/>
        </w:pBdr>
        <w:spacing w:line="288" w:lineRule="auto"/>
        <w:rPr>
          <w:shd w:val="clear" w:color="auto" w:fill="FFFFFF"/>
        </w:rPr>
      </w:pPr>
      <w:r w:rsidRPr="002D756C">
        <w:rPr>
          <w:shd w:val="clear" w:color="auto" w:fill="FFFFFF"/>
        </w:rPr>
        <w:t xml:space="preserve">Liczba budynków </w:t>
      </w:r>
      <w:r w:rsidR="007458F7" w:rsidRPr="002D756C">
        <w:rPr>
          <w:shd w:val="clear" w:color="auto" w:fill="FFFFFF"/>
        </w:rPr>
        <w:t xml:space="preserve">w przeliczeniu na 1000 ludności </w:t>
      </w:r>
      <w:r w:rsidRPr="002D756C">
        <w:rPr>
          <w:shd w:val="clear" w:color="auto" w:fill="FFFFFF"/>
        </w:rPr>
        <w:t xml:space="preserve">w </w:t>
      </w:r>
      <w:r w:rsidR="00F4348E" w:rsidRPr="002D756C">
        <w:t>Narodowym</w:t>
      </w:r>
      <w:r w:rsidR="00F4348E" w:rsidRPr="002D756C">
        <w:rPr>
          <w:shd w:val="clear" w:color="auto" w:fill="FFFFFF"/>
        </w:rPr>
        <w:t xml:space="preserve"> Spisie Powszechnym Ludności i Mieszkań, na dzień 31 marca 2021 r.  wynio</w:t>
      </w:r>
      <w:r w:rsidR="007458F7" w:rsidRPr="002D756C">
        <w:rPr>
          <w:shd w:val="clear" w:color="auto" w:fill="FFFFFF"/>
        </w:rPr>
        <w:t>sł</w:t>
      </w:r>
      <w:r w:rsidRPr="002D756C">
        <w:rPr>
          <w:shd w:val="clear" w:color="auto" w:fill="FFFFFF"/>
        </w:rPr>
        <w:t>a</w:t>
      </w:r>
      <w:r w:rsidR="007458F7" w:rsidRPr="002D756C">
        <w:rPr>
          <w:shd w:val="clear" w:color="auto" w:fill="FFFFFF"/>
        </w:rPr>
        <w:t xml:space="preserve"> 150, a w poprzednim spisie – 125.</w:t>
      </w:r>
    </w:p>
    <w:p w:rsidR="00F61A4A" w:rsidRPr="00635AB3" w:rsidRDefault="00F61A4A" w:rsidP="00F61A4A">
      <w:pPr>
        <w:spacing w:before="0" w:after="0"/>
        <w:rPr>
          <w:rFonts w:eastAsia="Fira Sans" w:cs="Fira Sans"/>
          <w:b/>
          <w:color w:val="000000" w:themeColor="text1"/>
        </w:rPr>
      </w:pPr>
      <w:r w:rsidRPr="00635AB3">
        <w:rPr>
          <w:rFonts w:eastAsia="Fira Sans" w:cs="Fira Sans"/>
          <w:b/>
          <w:color w:val="000000" w:themeColor="text1"/>
        </w:rPr>
        <w:t xml:space="preserve">Mapa </w:t>
      </w:r>
      <w:r>
        <w:rPr>
          <w:rFonts w:eastAsia="Fira Sans" w:cs="Fira Sans"/>
          <w:b/>
          <w:color w:val="000000" w:themeColor="text1"/>
        </w:rPr>
        <w:t>7.</w:t>
      </w:r>
      <w:r w:rsidRPr="00635AB3">
        <w:rPr>
          <w:rFonts w:eastAsia="Fira Sans" w:cs="Fira Sans"/>
          <w:b/>
          <w:color w:val="000000" w:themeColor="text1"/>
        </w:rPr>
        <w:t xml:space="preserve"> </w:t>
      </w:r>
      <w:r>
        <w:rPr>
          <w:rFonts w:eastAsia="Fira Sans" w:cs="Fira Sans"/>
          <w:b/>
          <w:color w:val="000000" w:themeColor="text1"/>
        </w:rPr>
        <w:t>Liczba budynków</w:t>
      </w:r>
      <w:r w:rsidRPr="00635AB3">
        <w:rPr>
          <w:rFonts w:eastAsia="Fira Sans" w:cs="Fira Sans"/>
          <w:b/>
          <w:color w:val="000000" w:themeColor="text1"/>
        </w:rPr>
        <w:t xml:space="preserve"> w gminach w przeliczeniu na 1000 osób (stan w dniu 31 marca)</w:t>
      </w:r>
    </w:p>
    <w:p w:rsidR="00805648" w:rsidRPr="00805648" w:rsidRDefault="00300C0D" w:rsidP="00272AF5">
      <w:pPr>
        <w:rPr>
          <w:sz w:val="16"/>
          <w:szCs w:val="16"/>
          <w:shd w:val="clear" w:color="auto" w:fill="FFFFFF"/>
        </w:rPr>
      </w:pPr>
      <w:r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144780</wp:posOffset>
            </wp:positionV>
            <wp:extent cx="5118483" cy="2429359"/>
            <wp:effectExtent l="0" t="0" r="6350" b="9525"/>
            <wp:wrapNone/>
            <wp:docPr id="19" name="Obraz 19" descr="Na mapach zaprezentowano liczbę budynków przypadającą na 1000 osób w latach 2011 i 2021, w poszczególnych gminach (5 klas natężenia koloru). Dane do mapy dostępne są w załączonym pliku Excel." title="Mapa 7. Liczba budynków w gminach w przeliczeniu na 1000 osób (stan w dniu 31 mar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la_budynki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483" cy="2429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634" w:rsidRDefault="00216634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DA331D" w:rsidRDefault="00DA331D" w:rsidP="00E95B8E">
      <w:pPr>
        <w:rPr>
          <w:sz w:val="16"/>
        </w:rPr>
      </w:pPr>
    </w:p>
    <w:p w:rsidR="00300C0D" w:rsidRDefault="00300C0D" w:rsidP="00E95B8E">
      <w:pPr>
        <w:rPr>
          <w:sz w:val="16"/>
        </w:rPr>
      </w:pPr>
    </w:p>
    <w:p w:rsidR="00300C0D" w:rsidRDefault="00300C0D" w:rsidP="00E95B8E">
      <w:pPr>
        <w:rPr>
          <w:sz w:val="16"/>
        </w:rPr>
      </w:pPr>
    </w:p>
    <w:p w:rsidR="00300C0D" w:rsidRDefault="00300C0D" w:rsidP="00E95B8E">
      <w:pPr>
        <w:rPr>
          <w:sz w:val="16"/>
        </w:rPr>
      </w:pPr>
    </w:p>
    <w:p w:rsidR="00300C0D" w:rsidRDefault="00300C0D" w:rsidP="00E95B8E">
      <w:pPr>
        <w:rPr>
          <w:sz w:val="16"/>
        </w:rPr>
      </w:pPr>
    </w:p>
    <w:p w:rsidR="00300C0D" w:rsidRDefault="00300C0D" w:rsidP="00E95B8E">
      <w:pPr>
        <w:rPr>
          <w:sz w:val="16"/>
        </w:rPr>
      </w:pPr>
    </w:p>
    <w:p w:rsidR="00300C0D" w:rsidRDefault="00300C0D" w:rsidP="00E95B8E">
      <w:pPr>
        <w:rPr>
          <w:sz w:val="16"/>
        </w:rPr>
      </w:pPr>
    </w:p>
    <w:p w:rsidR="00300C0D" w:rsidRDefault="00300C0D" w:rsidP="00E95B8E">
      <w:pPr>
        <w:rPr>
          <w:sz w:val="16"/>
        </w:rPr>
      </w:pPr>
    </w:p>
    <w:p w:rsidR="00300C0D" w:rsidRDefault="00300C0D" w:rsidP="00E95B8E">
      <w:pPr>
        <w:rPr>
          <w:sz w:val="16"/>
        </w:rPr>
      </w:pPr>
    </w:p>
    <w:p w:rsidR="00694AF0" w:rsidRDefault="00694AF0" w:rsidP="00E76D26">
      <w:pPr>
        <w:rPr>
          <w:sz w:val="18"/>
        </w:rPr>
      </w:pPr>
    </w:p>
    <w:p w:rsidR="00DA331D" w:rsidRPr="001419E5" w:rsidRDefault="00B50409" w:rsidP="001560A9">
      <w:pPr>
        <w:spacing w:line="288" w:lineRule="auto"/>
        <w:rPr>
          <w:szCs w:val="19"/>
        </w:rPr>
        <w:sectPr w:rsidR="00DA331D" w:rsidRPr="001419E5" w:rsidSect="001E5EA5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1419E5">
        <w:rPr>
          <w:szCs w:val="19"/>
        </w:rPr>
        <w:t xml:space="preserve">Najwyższy wskaźnik liczby budynków na 1000 ludności </w:t>
      </w:r>
      <w:r w:rsidR="005A131F" w:rsidRPr="001419E5">
        <w:rPr>
          <w:szCs w:val="19"/>
        </w:rPr>
        <w:t xml:space="preserve"> wystąpił w gminach wiejskich:</w:t>
      </w:r>
      <w:r w:rsidRPr="001419E5">
        <w:rPr>
          <w:szCs w:val="19"/>
        </w:rPr>
        <w:t xml:space="preserve"> Czernica – 335  (w NSP 2011 - 302), Platerówka – 298 oraz Lubi</w:t>
      </w:r>
      <w:r w:rsidR="005A131F" w:rsidRPr="001419E5">
        <w:rPr>
          <w:szCs w:val="19"/>
        </w:rPr>
        <w:t>n - 295</w:t>
      </w:r>
      <w:r w:rsidRPr="001419E5">
        <w:rPr>
          <w:szCs w:val="19"/>
        </w:rPr>
        <w:t xml:space="preserve"> (</w:t>
      </w:r>
      <w:r w:rsidR="005A131F" w:rsidRPr="001419E5">
        <w:rPr>
          <w:szCs w:val="19"/>
        </w:rPr>
        <w:t xml:space="preserve">w NSP 2011 odpowiednio 272 i 270). </w:t>
      </w:r>
      <w:r w:rsidRPr="001419E5">
        <w:rPr>
          <w:szCs w:val="19"/>
        </w:rPr>
        <w:t xml:space="preserve"> Najni</w:t>
      </w:r>
      <w:r w:rsidR="005A131F" w:rsidRPr="001419E5">
        <w:rPr>
          <w:szCs w:val="19"/>
        </w:rPr>
        <w:t xml:space="preserve">ższy wskaźnik zanotowano w miastach: Kamienna Góra – 79, </w:t>
      </w:r>
      <w:r w:rsidR="00F03678" w:rsidRPr="001419E5">
        <w:rPr>
          <w:szCs w:val="19"/>
        </w:rPr>
        <w:t>Lubin – 71 i Głogów – 69</w:t>
      </w:r>
      <w:r w:rsidR="005A131F" w:rsidRPr="001419E5">
        <w:rPr>
          <w:szCs w:val="19"/>
        </w:rPr>
        <w:t xml:space="preserve"> (w NSP 2011 ten wskaźnik wyniósł odpowiednio  66, 54 i 59).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A2BA7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FC4A73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we Wrocławiu</w:t>
            </w:r>
          </w:p>
          <w:p w:rsidR="00DE2400" w:rsidRPr="00935D17" w:rsidRDefault="00FC4A73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>p.o. Dyrektora Halina Woźniak</w:t>
            </w:r>
          </w:p>
          <w:p w:rsidR="00DE2400" w:rsidRPr="00AB24E4" w:rsidRDefault="00FC4A73" w:rsidP="00935D1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 w:rsidRPr="00FC4A73">
              <w:rPr>
                <w:rFonts w:ascii="Fira Sans" w:hAnsi="Fira Sans" w:cs="Arial"/>
                <w:color w:val="000000"/>
                <w:sz w:val="20"/>
                <w:szCs w:val="20"/>
                <w:lang w:val="fi-FI"/>
              </w:rPr>
              <w:t>71 371 64 00</w:t>
            </w:r>
          </w:p>
        </w:tc>
        <w:tc>
          <w:tcPr>
            <w:tcW w:w="4927" w:type="dxa"/>
          </w:tcPr>
          <w:p w:rsidR="00DE2400" w:rsidRPr="00FC4A73" w:rsidRDefault="00DE2400" w:rsidP="00FC4A73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FC4A73">
              <w:rPr>
                <w:rFonts w:cs="Arial"/>
                <w:b/>
                <w:sz w:val="20"/>
              </w:rPr>
              <w:t>Informatorium Statystyczne</w:t>
            </w:r>
          </w:p>
          <w:p w:rsidR="00DE2400" w:rsidRDefault="00FC4A73" w:rsidP="00747B8C">
            <w:pPr>
              <w:rPr>
                <w:sz w:val="18"/>
              </w:rPr>
            </w:pPr>
            <w:r w:rsidRPr="00236A47">
              <w:rPr>
                <w:rFonts w:cs="Arial"/>
                <w:color w:val="000000"/>
                <w:szCs w:val="19"/>
                <w:lang w:val="fi-FI"/>
              </w:rPr>
              <w:t>tel: 71 371 63 62, 71 371 64 55</w:t>
            </w:r>
          </w:p>
        </w:tc>
      </w:tr>
      <w:tr w:rsidR="003E76F6" w:rsidTr="00BA2BA7">
        <w:trPr>
          <w:trHeight w:val="418"/>
        </w:trPr>
        <w:tc>
          <w:tcPr>
            <w:tcW w:w="4926" w:type="dxa"/>
            <w:vMerge w:val="restart"/>
          </w:tcPr>
          <w:p w:rsidR="003E76F6" w:rsidRPr="00C91687" w:rsidRDefault="00FC4A7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Dolnośląski Ośrodek Badań Regionalnych</w:t>
            </w:r>
          </w:p>
          <w:p w:rsidR="006A487C" w:rsidRPr="00B959B9" w:rsidRDefault="00FC4A73" w:rsidP="003E76F6">
            <w:pPr>
              <w:rPr>
                <w:b/>
                <w:sz w:val="20"/>
              </w:rPr>
            </w:pPr>
            <w:r>
              <w:rPr>
                <w:rFonts w:cs="Arial"/>
                <w:color w:val="000000" w:themeColor="text1"/>
                <w:sz w:val="20"/>
                <w:lang w:val="fi-FI"/>
              </w:rPr>
              <w:t>t</w:t>
            </w:r>
            <w:r w:rsidR="006A487C" w:rsidRPr="008F3638">
              <w:rPr>
                <w:rFonts w:cs="Arial"/>
                <w:color w:val="000000" w:themeColor="text1"/>
                <w:sz w:val="20"/>
                <w:lang w:val="fi-FI"/>
              </w:rPr>
              <w:t xml:space="preserve">el: </w:t>
            </w:r>
            <w:r>
              <w:rPr>
                <w:rFonts w:cs="Arial"/>
                <w:color w:val="000000" w:themeColor="text1"/>
                <w:sz w:val="20"/>
                <w:lang w:val="fi-FI"/>
              </w:rPr>
              <w:t>71 371 63 71</w:t>
            </w:r>
            <w:r w:rsidR="006A487C" w:rsidRPr="00B959B9">
              <w:rPr>
                <w:b/>
                <w:sz w:val="20"/>
              </w:rPr>
              <w:t xml:space="preserve"> </w:t>
            </w:r>
          </w:p>
          <w:p w:rsidR="003E76F6" w:rsidRPr="00FC4A73" w:rsidRDefault="003E76F6" w:rsidP="00FC4A73">
            <w:pPr>
              <w:rPr>
                <w:sz w:val="18"/>
                <w:lang w:val="en-US"/>
              </w:rPr>
            </w:pPr>
            <w:r w:rsidRPr="00FC4A73">
              <w:rPr>
                <w:b/>
                <w:sz w:val="20"/>
                <w:lang w:val="en-US"/>
              </w:rPr>
              <w:t>e-mail:</w:t>
            </w:r>
            <w:r w:rsidRPr="00FC4A73">
              <w:rPr>
                <w:sz w:val="20"/>
                <w:lang w:val="en-US"/>
              </w:rPr>
              <w:t xml:space="preserve"> </w:t>
            </w:r>
            <w:hyperlink r:id="rId23" w:history="1">
              <w:r w:rsidR="00FC4A73" w:rsidRPr="00FC4A73">
                <w:rPr>
                  <w:rStyle w:val="Hipercze"/>
                  <w:rFonts w:cstheme="minorBidi"/>
                  <w:sz w:val="20"/>
                  <w:lang w:val="en-US"/>
                </w:rPr>
                <w:t>A.Ilczuk@stat.gov.pl</w:t>
              </w:r>
            </w:hyperlink>
          </w:p>
        </w:tc>
        <w:tc>
          <w:tcPr>
            <w:tcW w:w="4927" w:type="dxa"/>
            <w:vAlign w:val="center"/>
          </w:tcPr>
          <w:p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20D7F32D" wp14:editId="1798C9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Link do strony Internetowej Urzędu Statystycznego we Wrocławiu" w:history="1">
              <w:r w:rsidR="00FC4A73" w:rsidRPr="00FC4A73">
                <w:rPr>
                  <w:rStyle w:val="Hipercze"/>
                  <w:rFonts w:cstheme="minorBidi"/>
                  <w:sz w:val="18"/>
                </w:rPr>
                <w:t>wroclaw.stat.gov.pl</w:t>
              </w:r>
              <w:r w:rsidRPr="00FC4A73">
                <w:rPr>
                  <w:rStyle w:val="Hipercze"/>
                  <w:rFonts w:cstheme="minorBidi"/>
                  <w:sz w:val="18"/>
                </w:rPr>
                <w:t xml:space="preserve">     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3E76F6" w:rsidTr="00BA2BA7">
        <w:trPr>
          <w:trHeight w:val="418"/>
        </w:trPr>
        <w:tc>
          <w:tcPr>
            <w:tcW w:w="4926" w:type="dxa"/>
            <w:vMerge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B6FABDF" wp14:editId="6621717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Link do profilu Urzędu Statystycznego we Wrocławiu na Twitterze" w:history="1">
              <w:r w:rsidR="00FC4A73" w:rsidRPr="00502526">
                <w:rPr>
                  <w:rStyle w:val="Hipercze"/>
                  <w:position w:val="6"/>
                  <w:szCs w:val="19"/>
                  <w:lang w:val="en-US"/>
                </w:rPr>
                <w:t>@WROCLAW_STAT</w:t>
              </w:r>
            </w:hyperlink>
          </w:p>
        </w:tc>
      </w:tr>
      <w:tr w:rsidR="003E76F6" w:rsidTr="00BA2BA7">
        <w:trPr>
          <w:trHeight w:val="476"/>
        </w:trPr>
        <w:tc>
          <w:tcPr>
            <w:tcW w:w="4926" w:type="dxa"/>
            <w:vMerge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2C0B9C55" wp14:editId="54792D2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Link do profilu Urzędu Statystycznego we Wrocławiu na Facebooku" w:history="1">
              <w:r w:rsidR="00FC4A73" w:rsidRPr="002C0D3C">
                <w:rPr>
                  <w:rStyle w:val="Hipercze"/>
                  <w:position w:val="6"/>
                  <w:szCs w:val="19"/>
                  <w:lang w:val="en-US"/>
                </w:rPr>
                <w:t>@</w:t>
              </w:r>
              <w:proofErr w:type="spellStart"/>
              <w:r w:rsidR="00FC4A73" w:rsidRPr="002C0D3C">
                <w:rPr>
                  <w:rStyle w:val="Hipercze"/>
                  <w:position w:val="6"/>
                  <w:szCs w:val="19"/>
                  <w:lang w:val="en-US"/>
                </w:rPr>
                <w:t>USWroclaw</w:t>
              </w:r>
              <w:proofErr w:type="spellEnd"/>
            </w:hyperlink>
          </w:p>
        </w:tc>
      </w:tr>
      <w:tr w:rsidR="003E76F6" w:rsidTr="00BA2BA7">
        <w:trPr>
          <w:trHeight w:val="476"/>
        </w:trPr>
        <w:tc>
          <w:tcPr>
            <w:tcW w:w="4926" w:type="dxa"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3D5F42" w:rsidRDefault="003E76F6" w:rsidP="003E76F6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47C583C3" wp14:editId="7F5CA6D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1" w:tooltip="Link do profilu Głównego Urzędu Statystycznego na Instagramie" w:history="1">
              <w:proofErr w:type="spellStart"/>
              <w:r w:rsidRPr="00FC4A73"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</w:p>
        </w:tc>
      </w:tr>
      <w:tr w:rsidR="003E76F6" w:rsidTr="00BA2BA7">
        <w:trPr>
          <w:trHeight w:val="476"/>
        </w:trPr>
        <w:tc>
          <w:tcPr>
            <w:tcW w:w="4926" w:type="dxa"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3D5F42" w:rsidRDefault="003E76F6" w:rsidP="003E76F6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20790ECD" wp14:editId="5F3984A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3" w:tooltip="Link do profilu Głównego Urzędu Statystycznego na YouTube" w:history="1">
              <w:proofErr w:type="spellStart"/>
              <w:r w:rsidRPr="009026D2">
                <w:rPr>
                  <w:rStyle w:val="Hipercze"/>
                  <w:rFonts w:cstheme="minorBidi"/>
                  <w:sz w:val="20"/>
                </w:rPr>
                <w:t>glownyurzadstatystycznygus</w:t>
              </w:r>
              <w:proofErr w:type="spellEnd"/>
            </w:hyperlink>
          </w:p>
        </w:tc>
      </w:tr>
      <w:tr w:rsidR="003E76F6" w:rsidTr="00BA2BA7">
        <w:trPr>
          <w:trHeight w:val="953"/>
        </w:trPr>
        <w:tc>
          <w:tcPr>
            <w:tcW w:w="4926" w:type="dxa"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3D5F42" w:rsidRDefault="004D7C20" w:rsidP="003E76F6">
            <w:pPr>
              <w:ind w:firstLine="680"/>
              <w:rPr>
                <w:sz w:val="20"/>
              </w:rPr>
            </w:pPr>
            <w:hyperlink r:id="rId34" w:tooltip="Link do profilu Głównego Urzędu Statystycznego na LinkedIn" w:history="1">
              <w:r w:rsidR="003E76F6" w:rsidRPr="009026D2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glownyurzadstatystyczny</w:t>
              </w:r>
            </w:hyperlink>
            <w:r w:rsidR="003E76F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3CA2944B" wp14:editId="441FDFB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Tr="00BA2BA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DE2400" w:rsidRDefault="00DE2400" w:rsidP="00747B8C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9026D2" w:rsidRPr="00132490" w:rsidRDefault="00132490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"https://stat.gov.pl/spisy-powszechne/nsp-2021/nsp-2021-wyniki-wstepne/ludnosc-wedlug-cech-spolecznych-wyniki-wstepne-nsp-2021,2,1.html" \o "Link do opracowania Ludność według cech społecznych – wyniki wstępne NSP 2021" </w:instrText>
            </w:r>
            <w:r>
              <w:rPr>
                <w:rStyle w:val="Hipercze"/>
                <w:rFonts w:cstheme="minorBidi"/>
              </w:rPr>
              <w:fldChar w:fldCharType="separate"/>
            </w:r>
            <w:r w:rsidR="009026D2" w:rsidRPr="00132490">
              <w:rPr>
                <w:rStyle w:val="Hipercze"/>
                <w:rFonts w:cstheme="minorBidi"/>
              </w:rPr>
              <w:t>Ludność według cech społecznych – wyniki wstępne NSP 2021</w:t>
            </w:r>
          </w:p>
          <w:p w:rsidR="009026D2" w:rsidRDefault="00132490" w:rsidP="00747B8C">
            <w:pPr>
              <w:shd w:val="clear" w:color="auto" w:fill="D9D9D9" w:themeFill="background1" w:themeFillShade="D9"/>
            </w:pPr>
            <w:r>
              <w:rPr>
                <w:rStyle w:val="Hipercze"/>
                <w:rFonts w:cstheme="minorBidi"/>
              </w:rPr>
              <w:fldChar w:fldCharType="end"/>
            </w:r>
            <w:hyperlink r:id="rId36" w:tooltip="Link do opracowania Wyposażenie mieszkań i budynków w instalacje i urządzenia techniczne - wyniki wstępne NSP 2021" w:history="1">
              <w:r w:rsidR="009026D2" w:rsidRPr="009026D2">
                <w:rPr>
                  <w:rStyle w:val="Hipercze"/>
                  <w:rFonts w:cstheme="minorBidi"/>
                </w:rPr>
                <w:t>Wyposażenie mieszkań i budynków w instalacje i urządzenia techniczne - wyniki wstępne NSP 2021</w:t>
              </w:r>
            </w:hyperlink>
          </w:p>
          <w:p w:rsidR="009026D2" w:rsidRPr="00132490" w:rsidRDefault="00132490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 w:rsidR="006715C8">
              <w:rPr>
                <w:rStyle w:val="Hipercze"/>
                <w:rFonts w:cstheme="minorBidi"/>
              </w:rPr>
              <w:instrText>HYPERLINK "https://stat.gov.pl/spisy-powszechne/nsp-2021/nsp-2021-wyniki-ostateczne/informacja-o-wynikach-narodowego-spisu-powszechnego-ludnosci-i-mieszkan-2021-na-poziomie-wojewodztw-powiatow-i-gmin,1,1.html" \o "Link do opracowania Informacja o wynikach Narodowego Spisu Powszechnego Ludności i Mieszkań 2021 na poziomie województw, powiatów i gmin"</w:instrText>
            </w:r>
            <w:r>
              <w:rPr>
                <w:rStyle w:val="Hipercze"/>
                <w:rFonts w:cstheme="minorBidi"/>
              </w:rPr>
              <w:fldChar w:fldCharType="separate"/>
            </w:r>
            <w:r w:rsidR="009026D2" w:rsidRPr="00132490">
              <w:rPr>
                <w:rStyle w:val="Hipercze"/>
                <w:rFonts w:cstheme="minorBidi"/>
              </w:rPr>
              <w:t>Informacja o wynikach Narodowego Spisu Powszechnego Ludności i Mieszkań 2021 na poziomie województw, powiatów i gmin</w:t>
            </w:r>
          </w:p>
          <w:p w:rsidR="00DE2400" w:rsidRPr="00694D63" w:rsidRDefault="00132490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DC0DAC" w:rsidRPr="00DC0DAC" w:rsidRDefault="004D7C20" w:rsidP="00DC0DAC">
            <w:pPr>
              <w:rPr>
                <w:rFonts w:cs="Times New Roman"/>
                <w:u w:val="single"/>
              </w:rPr>
            </w:pPr>
            <w:hyperlink r:id="rId37" w:tooltip="Link do bazy danych Banku Danych Lokalnych" w:history="1">
              <w:r w:rsidR="00DC0DAC" w:rsidRPr="00DC0DAC">
                <w:rPr>
                  <w:rStyle w:val="Hipercze"/>
                </w:rPr>
                <w:t>Bank Danych Lokalnych → Narodowe Spisy Powszechne →NSP 2021 – Ludność / NSP 2021 - Mieszkania</w:t>
              </w:r>
            </w:hyperlink>
          </w:p>
          <w:p w:rsidR="00DC0DAC" w:rsidRDefault="004D7C20" w:rsidP="00DC0DAC">
            <w:pPr>
              <w:rPr>
                <w:rFonts w:cs="Times New Roman"/>
              </w:rPr>
            </w:pPr>
            <w:hyperlink r:id="rId38" w:tooltip="Link do danych w bazie..." w:history="1">
              <w:r w:rsidR="00B16871" w:rsidRPr="00CF18EE">
                <w:rPr>
                  <w:rStyle w:val="Hipercze"/>
                </w:rPr>
                <w:t xml:space="preserve"> </w:t>
              </w:r>
            </w:hyperlink>
          </w:p>
          <w:p w:rsidR="0025092A" w:rsidRPr="009026D2" w:rsidRDefault="00B16871" w:rsidP="00DC0DAC">
            <w:pPr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DE2400" w:rsidRDefault="004D7C20" w:rsidP="00747B8C">
            <w:hyperlink r:id="rId39" w:tooltip="Link do pojęcia Ludność" w:history="1">
              <w:r w:rsidR="0025092A" w:rsidRPr="00DC0DAC">
                <w:rPr>
                  <w:rStyle w:val="Hipercze"/>
                  <w:rFonts w:cstheme="minorBidi"/>
                </w:rPr>
                <w:t>Ludność</w:t>
              </w:r>
            </w:hyperlink>
          </w:p>
          <w:p w:rsidR="0025092A" w:rsidRPr="00132490" w:rsidRDefault="00132490" w:rsidP="00747B8C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"https://stat.gov.pl/metainformacje/slownik-pojec/pojecia-stosowane-w-statystyce-publicznej/863,pojecie.html" \o "Link do pojęcia Wiek przedprodukcyjny" </w:instrText>
            </w:r>
            <w:r>
              <w:rPr>
                <w:rStyle w:val="Hipercze"/>
                <w:rFonts w:cstheme="minorBidi"/>
              </w:rPr>
              <w:fldChar w:fldCharType="separate"/>
            </w:r>
            <w:r w:rsidR="0025092A" w:rsidRPr="00132490">
              <w:rPr>
                <w:rStyle w:val="Hipercze"/>
                <w:rFonts w:cstheme="minorBidi"/>
              </w:rPr>
              <w:t>Wiek przedprodukcyjny</w:t>
            </w:r>
          </w:p>
          <w:p w:rsidR="0025092A" w:rsidRPr="00132490" w:rsidRDefault="00132490" w:rsidP="00747B8C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"https://stat.gov.pl/metainformacje/slownik-pojec/pojecia-stosowane-w-statystyce-publicznej/861,pojecie.html" \o "Link do pojęcia Wiek produkcyjny" </w:instrText>
            </w:r>
            <w:r>
              <w:rPr>
                <w:rStyle w:val="Hipercze"/>
                <w:rFonts w:cstheme="minorBidi"/>
              </w:rPr>
              <w:fldChar w:fldCharType="separate"/>
            </w:r>
            <w:r w:rsidR="0025092A" w:rsidRPr="00132490">
              <w:rPr>
                <w:rStyle w:val="Hipercze"/>
                <w:rFonts w:cstheme="minorBidi"/>
              </w:rPr>
              <w:t>Wiek produkcyjny</w:t>
            </w:r>
          </w:p>
          <w:p w:rsidR="0025092A" w:rsidRPr="00132490" w:rsidRDefault="00132490" w:rsidP="00747B8C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"https://stat.gov.pl/metainformacje/slownik-pojec/pojecia-stosowane-w-statystyce-publicznej/3947,pojecie.html" \o "Link do pojęcia Wiek poprodukcyjny" </w:instrText>
            </w:r>
            <w:r>
              <w:rPr>
                <w:rStyle w:val="Hipercze"/>
                <w:rFonts w:cstheme="minorBidi"/>
              </w:rPr>
              <w:fldChar w:fldCharType="separate"/>
            </w:r>
            <w:r w:rsidR="0025092A" w:rsidRPr="00132490">
              <w:rPr>
                <w:rStyle w:val="Hipercze"/>
                <w:rFonts w:cstheme="minorBidi"/>
              </w:rPr>
              <w:t>Wiek poprodukcyjny</w:t>
            </w:r>
          </w:p>
          <w:p w:rsidR="0025092A" w:rsidRPr="00132490" w:rsidRDefault="00132490" w:rsidP="00747B8C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"https://stat.gov.pl/metainformacje/slownik-pojec/pojecia-stosowane-w-statystyce-publicznej/3915,pojecie.html" \o "Link do pojęcia Gęstość zaludnienia" </w:instrText>
            </w:r>
            <w:r>
              <w:rPr>
                <w:rStyle w:val="Hipercze"/>
                <w:rFonts w:cstheme="minorBidi"/>
              </w:rPr>
              <w:fldChar w:fldCharType="separate"/>
            </w:r>
            <w:r w:rsidR="0025092A" w:rsidRPr="00132490">
              <w:rPr>
                <w:rStyle w:val="Hipercze"/>
                <w:rFonts w:cstheme="minorBidi"/>
              </w:rPr>
              <w:t>Gęstość zaludnienia</w:t>
            </w:r>
          </w:p>
          <w:p w:rsidR="0025092A" w:rsidRPr="00132490" w:rsidRDefault="00132490" w:rsidP="00747B8C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"https://stat.gov.pl/metainformacje/slownik-pojec/pojecia-stosowane-w-statystyce-publicznej/3951,pojecie.html" \o "Link do pojęcia Współczynnik feminizacji" </w:instrText>
            </w:r>
            <w:r>
              <w:rPr>
                <w:rStyle w:val="Hipercze"/>
                <w:rFonts w:cstheme="minorBidi"/>
              </w:rPr>
              <w:fldChar w:fldCharType="separate"/>
            </w:r>
            <w:r w:rsidR="0025092A" w:rsidRPr="00132490">
              <w:rPr>
                <w:rStyle w:val="Hipercze"/>
                <w:rFonts w:cstheme="minorBidi"/>
              </w:rPr>
              <w:t>Współczynnik feminizacji</w:t>
            </w:r>
          </w:p>
          <w:p w:rsidR="00863E60" w:rsidRPr="00132490" w:rsidRDefault="00132490" w:rsidP="00747B8C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"https://stat.gov.pl/metainformacje/slownik-pojec/pojecia-stosowane-w-statystyce-publicznej/3948,pojecie.html" \o "Link do pojęcia Indeks starości" </w:instrText>
            </w:r>
            <w:r>
              <w:rPr>
                <w:rStyle w:val="Hipercze"/>
                <w:rFonts w:cstheme="minorBidi"/>
              </w:rPr>
              <w:fldChar w:fldCharType="separate"/>
            </w:r>
            <w:r w:rsidR="00863E60" w:rsidRPr="00132490">
              <w:rPr>
                <w:rStyle w:val="Hipercze"/>
                <w:rFonts w:cstheme="minorBidi"/>
              </w:rPr>
              <w:t>Indeks starości</w:t>
            </w:r>
          </w:p>
          <w:p w:rsidR="0025092A" w:rsidRPr="00132490" w:rsidRDefault="00132490" w:rsidP="00747B8C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"https://stat.gov.pl/metainformacje/slownik-pojec/pojecia-stosowane-w-statystyce-publicznej/202,pojecie.html" \o "Link do pojęcia Mieszkanie" </w:instrText>
            </w:r>
            <w:r>
              <w:rPr>
                <w:rStyle w:val="Hipercze"/>
                <w:rFonts w:cstheme="minorBidi"/>
              </w:rPr>
              <w:fldChar w:fldCharType="separate"/>
            </w:r>
            <w:r w:rsidR="0025092A" w:rsidRPr="00132490">
              <w:rPr>
                <w:rStyle w:val="Hipercze"/>
                <w:rFonts w:cstheme="minorBidi"/>
              </w:rPr>
              <w:t>Mieszkanie</w:t>
            </w:r>
          </w:p>
          <w:p w:rsidR="0025092A" w:rsidRPr="00132490" w:rsidRDefault="00132490" w:rsidP="00747B8C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"https://stat.gov.pl/metainformacje/slownik-pojec/pojecia-stosowane-w-statystyce-publicznej/26,pojecie.html" \o "Link do pojęcia Budynek" </w:instrText>
            </w:r>
            <w:r>
              <w:rPr>
                <w:rStyle w:val="Hipercze"/>
                <w:rFonts w:cstheme="minorBidi"/>
              </w:rPr>
              <w:fldChar w:fldCharType="separate"/>
            </w:r>
            <w:r w:rsidR="0025092A" w:rsidRPr="00132490">
              <w:rPr>
                <w:rStyle w:val="Hipercze"/>
                <w:rFonts w:cstheme="minorBidi"/>
              </w:rPr>
              <w:t>Budynek</w:t>
            </w:r>
          </w:p>
          <w:p w:rsidR="00DE2400" w:rsidRPr="00B959B9" w:rsidRDefault="00132490" w:rsidP="0025092A">
            <w:pPr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</w:p>
        </w:tc>
      </w:tr>
    </w:tbl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B959B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Default="000470AA" w:rsidP="00F57AFC">
      <w:pPr>
        <w:rPr>
          <w:sz w:val="20"/>
        </w:rPr>
      </w:pPr>
    </w:p>
    <w:sectPr w:rsidR="000470AA" w:rsidSect="001E5EA5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31EF" w:rsidRDefault="00A131EF" w:rsidP="000662E2">
      <w:pPr>
        <w:spacing w:after="0" w:line="240" w:lineRule="auto"/>
      </w:pPr>
      <w:r>
        <w:separator/>
      </w:r>
    </w:p>
  </w:endnote>
  <w:endnote w:type="continuationSeparator" w:id="0">
    <w:p w:rsidR="00A131EF" w:rsidRDefault="00A131E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8CAAABC-741A-4B45-804F-D800D384C5D4}"/>
    <w:embedBold r:id="rId2" w:fontKey="{86195F69-52F5-447E-A7CE-1B441FEBEDE6}"/>
    <w:embedItalic r:id="rId3" w:fontKey="{24F01D2B-48BA-4A75-B632-BAEEF64E93AB}"/>
    <w:embedBoldItalic r:id="rId4" w:fontKey="{8A8C662B-CCC7-47EC-B2E2-9B38759A118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5" w:fontKey="{9E85BFF1-67BC-4AF5-B50C-C889FCD73909}"/>
    <w:embedBold r:id="rId6" w:fontKey="{1D199065-CC4A-4531-B522-BF6818B516F0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107C9EE-803E-4C97-843C-BEC38C57575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6480AD20-654B-4C6E-BA59-02AA39520665}"/>
    <w:embedItalic r:id="rId9" w:fontKey="{3DE659D3-BDB2-4B63-B382-07F14D0ED89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31FC92B4-1694-4E18-AD88-211A68B2E1C8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0D01859D-52BD-4D96-9839-1E74833508A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B0E62F76-0B29-42E5-98CB-653D7D3ACE33}"/>
    <w:embedBold r:id="rId13" w:fontKey="{8C2CFD45-9684-4562-B369-252E2230C57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7C20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0037B5" w:rsidP="003B18B6">
        <w:pPr>
          <w:pStyle w:val="Stopka"/>
          <w:jc w:val="center"/>
        </w:pPr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2419350</wp:posOffset>
                  </wp:positionH>
                  <wp:positionV relativeFrom="paragraph">
                    <wp:posOffset>81280</wp:posOffset>
                  </wp:positionV>
                  <wp:extent cx="342900" cy="180975"/>
                  <wp:effectExtent l="0" t="0" r="0" b="9525"/>
                  <wp:wrapNone/>
                  <wp:docPr id="2" name="Pole tekstowe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42900" cy="180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037B5" w:rsidRDefault="000037B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0;text-align:left;margin-left:190.5pt;margin-top:6.4pt;width:27pt;height:14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" fillcolor="white [3201]" stroked="f" strokeweight=".5pt">
                  <v:textbox>
                    <w:txbxContent>
                      <w:p w:rsidR="000037B5" w:rsidRDefault="000037B5"/>
                    </w:txbxContent>
                  </v:textbox>
                </v:shape>
              </w:pict>
            </mc:Fallback>
          </mc:AlternateContent>
        </w:r>
        <w:r w:rsidR="00541E6E">
          <w:fldChar w:fldCharType="begin"/>
        </w:r>
        <w:r w:rsidR="00541E6E">
          <w:instrText>PAGE   \* MERGEFORMAT</w:instrText>
        </w:r>
        <w:r w:rsidR="00541E6E">
          <w:fldChar w:fldCharType="separate"/>
        </w:r>
        <w:r w:rsidR="004D7C20">
          <w:rPr>
            <w:noProof/>
          </w:rPr>
          <w:t>1</w:t>
        </w:r>
        <w:r w:rsidR="00541E6E"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7C20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31EF" w:rsidRDefault="00A131EF" w:rsidP="000662E2">
      <w:pPr>
        <w:spacing w:after="0" w:line="240" w:lineRule="auto"/>
      </w:pPr>
      <w:r>
        <w:separator/>
      </w:r>
    </w:p>
  </w:footnote>
  <w:footnote w:type="continuationSeparator" w:id="0">
    <w:p w:rsidR="00A131EF" w:rsidRDefault="00A131E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 w:rsidP="0030579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BB07995" wp14:editId="0C3503F3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6F6B99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AE2D4B" w:rsidP="00553AB1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8E54B4E" wp14:editId="3F86DAD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Seria: 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E54B4E" id="Schemat blokowy: opóźnienie 6" o:spid="_x0000_s1030" alt="Seria: INFORMACJE SYGNALNE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Ar+epPYAYAAC0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386F680" wp14:editId="5BAB5867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0D015E2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  <w:r w:rsidR="00305791">
      <w:rPr>
        <w:noProof/>
      </w:rPr>
      <w:tab/>
    </w:r>
  </w:p>
  <w:p w:rsidR="006D4D5C" w:rsidRDefault="0081262B" w:rsidP="00305791">
    <w:pPr>
      <w:pStyle w:val="Nagwek"/>
      <w:tabs>
        <w:tab w:val="clear" w:pos="9072"/>
        <w:tab w:val="left" w:pos="6390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1" locked="0" layoutInCell="1" allowOverlap="1" wp14:anchorId="719F3AB8" wp14:editId="049CA02E">
          <wp:simplePos x="0" y="0"/>
          <wp:positionH relativeFrom="column">
            <wp:posOffset>3314701</wp:posOffset>
          </wp:positionH>
          <wp:positionV relativeFrom="paragraph">
            <wp:posOffset>27305</wp:posOffset>
          </wp:positionV>
          <wp:extent cx="1487860" cy="514350"/>
          <wp:effectExtent l="0" t="0" r="0" b="0"/>
          <wp:wrapNone/>
          <wp:docPr id="4" name="Obraz 4" descr="Logo Urzędu Statystycznego we Wrocław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783" cy="519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4D5C">
      <w:rPr>
        <w:noProof/>
        <w:lang w:eastAsia="pl-PL"/>
      </w:rPr>
      <w:drawing>
        <wp:inline distT="0" distB="0" distL="0" distR="0" wp14:anchorId="10BCED97" wp14:editId="3AF36218">
          <wp:extent cx="2857500" cy="419660"/>
          <wp:effectExtent l="0" t="0" r="0" b="0"/>
          <wp:docPr id="3" name="Obraz 3" descr="Logo Głównego Urzędu Statystycznego oraz Narodowego Spisu Powszechnego Ludności i Mieszkań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7148" cy="4475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305791">
      <w:rPr>
        <w:noProof/>
        <w:lang w:eastAsia="pl-PL"/>
      </w:rPr>
      <w:tab/>
    </w:r>
  </w:p>
  <w:p w:rsidR="00F32749" w:rsidRDefault="00C7346B" w:rsidP="001F453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606FAF4" wp14:editId="74D61A02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B959B9" w:rsidP="00F049AB">
                          <w:pPr>
                            <w:pStyle w:val="Datainformacjisygnalnej"/>
                          </w:pPr>
                          <w:r>
                            <w:t>27.09.2022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06FAF4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LTJV9/eAAAACgEAAA8AAABkcnMvZG93bnJl&#10;di54bWxMj8FOwzAQRO9I/IO1SNyo3ZJWScimQiCuoLaAxM2Nt0lEvI5itwl/j3tqj6MZzbwp1pPt&#10;xIkG3zpGmM8UCOLKmZZrhM/d20MKwgfNRneOCeGPPKzL25tC58aNvKHTNtQilrDPNUITQp9L6auG&#10;rPYz1xNH7+AGq0OUQy3NoMdYbju5UGolrW45LjS6p5eGqt/t0SJ8vR9+vhP1Ub/aZT+6SUm2mUS8&#10;v5uen0AEmsIlDGf8iA5lZNq7IxsvOoT0cRHRA0Iyz0CcA2qZJiD2CFmSgSwLeX2h/A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C0yVff3gAAAAoBAAAPAAAAAAAAAAAAAAAAAIUEAABk&#10;cnMvZG93bnJldi54bWxQSwUGAAAAAAQABADzAAAAkAUAAAAA&#10;" filled="f" stroked="f">
              <v:textbox>
                <w:txbxContent>
                  <w:p w:rsidR="00F37172" w:rsidRPr="00A01B40" w:rsidRDefault="00B959B9" w:rsidP="00F049AB">
                    <w:pPr>
                      <w:pStyle w:val="Datainformacjisygnalnej"/>
                    </w:pPr>
                    <w:r>
                      <w:t>27.09.2022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887C6B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2.25pt;height:129.75pt;visibility:visible;mso-wrap-style:square" o:bullet="t">
        <v:imagedata r:id="rId1" o:title=""/>
      </v:shape>
    </w:pict>
  </w:numPicBullet>
  <w:numPicBullet w:numPicBulletId="1">
    <w:pict>
      <v:shape id="_x0000_i1047" type="#_x0000_t75" style="width:122.25pt;height:129.7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100"/>
    <w:rsid w:val="00003437"/>
    <w:rsid w:val="000037B5"/>
    <w:rsid w:val="0000709F"/>
    <w:rsid w:val="000108B8"/>
    <w:rsid w:val="00010C15"/>
    <w:rsid w:val="000152F5"/>
    <w:rsid w:val="0002266F"/>
    <w:rsid w:val="0003044B"/>
    <w:rsid w:val="00036CA1"/>
    <w:rsid w:val="00037378"/>
    <w:rsid w:val="00044257"/>
    <w:rsid w:val="0004582E"/>
    <w:rsid w:val="000470AA"/>
    <w:rsid w:val="00047CF7"/>
    <w:rsid w:val="0005491A"/>
    <w:rsid w:val="00057CA1"/>
    <w:rsid w:val="00060C7B"/>
    <w:rsid w:val="000647A9"/>
    <w:rsid w:val="000662E2"/>
    <w:rsid w:val="00066883"/>
    <w:rsid w:val="00071B39"/>
    <w:rsid w:val="00074DD8"/>
    <w:rsid w:val="00075759"/>
    <w:rsid w:val="000806F7"/>
    <w:rsid w:val="00084976"/>
    <w:rsid w:val="000863EB"/>
    <w:rsid w:val="00092305"/>
    <w:rsid w:val="00097840"/>
    <w:rsid w:val="000B0727"/>
    <w:rsid w:val="000B1077"/>
    <w:rsid w:val="000C135D"/>
    <w:rsid w:val="000D11F6"/>
    <w:rsid w:val="000D1D43"/>
    <w:rsid w:val="000D225C"/>
    <w:rsid w:val="000D2A5C"/>
    <w:rsid w:val="000D39F0"/>
    <w:rsid w:val="000D5D87"/>
    <w:rsid w:val="000E0918"/>
    <w:rsid w:val="000E79A9"/>
    <w:rsid w:val="000F26D1"/>
    <w:rsid w:val="001011C3"/>
    <w:rsid w:val="001025B0"/>
    <w:rsid w:val="0010435D"/>
    <w:rsid w:val="00106DA3"/>
    <w:rsid w:val="001078A4"/>
    <w:rsid w:val="00110214"/>
    <w:rsid w:val="00110D87"/>
    <w:rsid w:val="00110FC8"/>
    <w:rsid w:val="00112399"/>
    <w:rsid w:val="00114DB9"/>
    <w:rsid w:val="00116087"/>
    <w:rsid w:val="00117711"/>
    <w:rsid w:val="0012126C"/>
    <w:rsid w:val="00125ED3"/>
    <w:rsid w:val="00126F78"/>
    <w:rsid w:val="00130296"/>
    <w:rsid w:val="00130C07"/>
    <w:rsid w:val="00132490"/>
    <w:rsid w:val="00134145"/>
    <w:rsid w:val="00136736"/>
    <w:rsid w:val="00136D67"/>
    <w:rsid w:val="001419E5"/>
    <w:rsid w:val="001423B6"/>
    <w:rsid w:val="001448A7"/>
    <w:rsid w:val="00146621"/>
    <w:rsid w:val="001558EF"/>
    <w:rsid w:val="001560A9"/>
    <w:rsid w:val="001617E3"/>
    <w:rsid w:val="00162325"/>
    <w:rsid w:val="0017240A"/>
    <w:rsid w:val="0018536A"/>
    <w:rsid w:val="00186A65"/>
    <w:rsid w:val="001951DA"/>
    <w:rsid w:val="001A069B"/>
    <w:rsid w:val="001A0ACA"/>
    <w:rsid w:val="001B053D"/>
    <w:rsid w:val="001C3269"/>
    <w:rsid w:val="001C7F08"/>
    <w:rsid w:val="001D19B6"/>
    <w:rsid w:val="001D1DB4"/>
    <w:rsid w:val="001D23F1"/>
    <w:rsid w:val="001D25F9"/>
    <w:rsid w:val="001D61ED"/>
    <w:rsid w:val="001E50C2"/>
    <w:rsid w:val="001E548C"/>
    <w:rsid w:val="001E5B2D"/>
    <w:rsid w:val="001E5EA5"/>
    <w:rsid w:val="001E6831"/>
    <w:rsid w:val="001F453C"/>
    <w:rsid w:val="0020156C"/>
    <w:rsid w:val="00204E70"/>
    <w:rsid w:val="00206212"/>
    <w:rsid w:val="00216634"/>
    <w:rsid w:val="00224070"/>
    <w:rsid w:val="00242D31"/>
    <w:rsid w:val="0025092A"/>
    <w:rsid w:val="0025481E"/>
    <w:rsid w:val="002574F9"/>
    <w:rsid w:val="00262B61"/>
    <w:rsid w:val="00262CC6"/>
    <w:rsid w:val="00262E12"/>
    <w:rsid w:val="00263E08"/>
    <w:rsid w:val="0026783A"/>
    <w:rsid w:val="00272AF5"/>
    <w:rsid w:val="00276811"/>
    <w:rsid w:val="00276C20"/>
    <w:rsid w:val="00280E07"/>
    <w:rsid w:val="00282699"/>
    <w:rsid w:val="002926DF"/>
    <w:rsid w:val="00296697"/>
    <w:rsid w:val="002A2E23"/>
    <w:rsid w:val="002A4EA8"/>
    <w:rsid w:val="002B0472"/>
    <w:rsid w:val="002B0B28"/>
    <w:rsid w:val="002B5783"/>
    <w:rsid w:val="002B6B12"/>
    <w:rsid w:val="002C21F0"/>
    <w:rsid w:val="002C4390"/>
    <w:rsid w:val="002D01DF"/>
    <w:rsid w:val="002D61F3"/>
    <w:rsid w:val="002D756C"/>
    <w:rsid w:val="002E3EB3"/>
    <w:rsid w:val="002E6140"/>
    <w:rsid w:val="002E6985"/>
    <w:rsid w:val="002E71B6"/>
    <w:rsid w:val="002F35F6"/>
    <w:rsid w:val="002F75D0"/>
    <w:rsid w:val="002F77C8"/>
    <w:rsid w:val="00300C0D"/>
    <w:rsid w:val="00304F22"/>
    <w:rsid w:val="00305791"/>
    <w:rsid w:val="00306C7C"/>
    <w:rsid w:val="00314F86"/>
    <w:rsid w:val="00316A57"/>
    <w:rsid w:val="00317E9C"/>
    <w:rsid w:val="00317F4D"/>
    <w:rsid w:val="00322EDD"/>
    <w:rsid w:val="003306C2"/>
    <w:rsid w:val="003309FA"/>
    <w:rsid w:val="00331490"/>
    <w:rsid w:val="00332320"/>
    <w:rsid w:val="00336B64"/>
    <w:rsid w:val="00344B1C"/>
    <w:rsid w:val="003464C6"/>
    <w:rsid w:val="003472D4"/>
    <w:rsid w:val="00347D72"/>
    <w:rsid w:val="00347DF7"/>
    <w:rsid w:val="003508CA"/>
    <w:rsid w:val="00353F45"/>
    <w:rsid w:val="00357611"/>
    <w:rsid w:val="0036432A"/>
    <w:rsid w:val="00364AF9"/>
    <w:rsid w:val="00367237"/>
    <w:rsid w:val="003676AB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A67B5"/>
    <w:rsid w:val="003B1454"/>
    <w:rsid w:val="003B18B6"/>
    <w:rsid w:val="003C01BA"/>
    <w:rsid w:val="003C161B"/>
    <w:rsid w:val="003C4340"/>
    <w:rsid w:val="003C59E0"/>
    <w:rsid w:val="003C6C8D"/>
    <w:rsid w:val="003D2656"/>
    <w:rsid w:val="003D386A"/>
    <w:rsid w:val="003D4F95"/>
    <w:rsid w:val="003D5F42"/>
    <w:rsid w:val="003D60A9"/>
    <w:rsid w:val="003E17D3"/>
    <w:rsid w:val="003E76F6"/>
    <w:rsid w:val="003F4C97"/>
    <w:rsid w:val="003F5622"/>
    <w:rsid w:val="003F666D"/>
    <w:rsid w:val="003F7FE6"/>
    <w:rsid w:val="00400193"/>
    <w:rsid w:val="004021EA"/>
    <w:rsid w:val="00416EAF"/>
    <w:rsid w:val="0042100A"/>
    <w:rsid w:val="004212E7"/>
    <w:rsid w:val="00423C88"/>
    <w:rsid w:val="0042446D"/>
    <w:rsid w:val="00427BF8"/>
    <w:rsid w:val="00431C02"/>
    <w:rsid w:val="00437170"/>
    <w:rsid w:val="00437395"/>
    <w:rsid w:val="004414F9"/>
    <w:rsid w:val="00445047"/>
    <w:rsid w:val="0044641D"/>
    <w:rsid w:val="00446749"/>
    <w:rsid w:val="00453EB7"/>
    <w:rsid w:val="00457427"/>
    <w:rsid w:val="00463E39"/>
    <w:rsid w:val="004657FC"/>
    <w:rsid w:val="004733F6"/>
    <w:rsid w:val="00474E69"/>
    <w:rsid w:val="00480BE3"/>
    <w:rsid w:val="00483E9F"/>
    <w:rsid w:val="0048430F"/>
    <w:rsid w:val="00485A2C"/>
    <w:rsid w:val="00487C4C"/>
    <w:rsid w:val="0049621B"/>
    <w:rsid w:val="004A1D19"/>
    <w:rsid w:val="004A4EAD"/>
    <w:rsid w:val="004A6296"/>
    <w:rsid w:val="004C1895"/>
    <w:rsid w:val="004C6D40"/>
    <w:rsid w:val="004C7F75"/>
    <w:rsid w:val="004D7C20"/>
    <w:rsid w:val="004E6AA8"/>
    <w:rsid w:val="004F0C3C"/>
    <w:rsid w:val="004F2280"/>
    <w:rsid w:val="004F23BB"/>
    <w:rsid w:val="004F3A4C"/>
    <w:rsid w:val="004F3BB9"/>
    <w:rsid w:val="004F63FC"/>
    <w:rsid w:val="00505A92"/>
    <w:rsid w:val="00510F88"/>
    <w:rsid w:val="005203F1"/>
    <w:rsid w:val="00521BC3"/>
    <w:rsid w:val="00533632"/>
    <w:rsid w:val="00534013"/>
    <w:rsid w:val="00540C5C"/>
    <w:rsid w:val="00541E6E"/>
    <w:rsid w:val="0054251F"/>
    <w:rsid w:val="0055074E"/>
    <w:rsid w:val="005520D8"/>
    <w:rsid w:val="00553AB1"/>
    <w:rsid w:val="00555CFB"/>
    <w:rsid w:val="00556CF1"/>
    <w:rsid w:val="00567763"/>
    <w:rsid w:val="00570EB8"/>
    <w:rsid w:val="00573C57"/>
    <w:rsid w:val="005762A7"/>
    <w:rsid w:val="00582B79"/>
    <w:rsid w:val="00584D4E"/>
    <w:rsid w:val="00586183"/>
    <w:rsid w:val="00587032"/>
    <w:rsid w:val="00587CEE"/>
    <w:rsid w:val="00590179"/>
    <w:rsid w:val="005916D7"/>
    <w:rsid w:val="0059427F"/>
    <w:rsid w:val="005A131F"/>
    <w:rsid w:val="005A698C"/>
    <w:rsid w:val="005C0CAC"/>
    <w:rsid w:val="005C6BC1"/>
    <w:rsid w:val="005D062E"/>
    <w:rsid w:val="005E0799"/>
    <w:rsid w:val="005E10F9"/>
    <w:rsid w:val="005E1200"/>
    <w:rsid w:val="005F329A"/>
    <w:rsid w:val="005F45EE"/>
    <w:rsid w:val="005F5A80"/>
    <w:rsid w:val="006044FF"/>
    <w:rsid w:val="00607CC5"/>
    <w:rsid w:val="0061179B"/>
    <w:rsid w:val="006125F9"/>
    <w:rsid w:val="00627F98"/>
    <w:rsid w:val="00632DE7"/>
    <w:rsid w:val="00633014"/>
    <w:rsid w:val="0063437B"/>
    <w:rsid w:val="00635AB3"/>
    <w:rsid w:val="00637101"/>
    <w:rsid w:val="0064017E"/>
    <w:rsid w:val="0064212D"/>
    <w:rsid w:val="0065267E"/>
    <w:rsid w:val="00654BB6"/>
    <w:rsid w:val="006650F2"/>
    <w:rsid w:val="006673CA"/>
    <w:rsid w:val="00667E87"/>
    <w:rsid w:val="006715C8"/>
    <w:rsid w:val="00673C26"/>
    <w:rsid w:val="006748B6"/>
    <w:rsid w:val="00674DE5"/>
    <w:rsid w:val="00677ACA"/>
    <w:rsid w:val="006812AF"/>
    <w:rsid w:val="0068327D"/>
    <w:rsid w:val="00691534"/>
    <w:rsid w:val="00692511"/>
    <w:rsid w:val="00693880"/>
    <w:rsid w:val="00694AF0"/>
    <w:rsid w:val="00695F35"/>
    <w:rsid w:val="00697167"/>
    <w:rsid w:val="006A366E"/>
    <w:rsid w:val="006A4686"/>
    <w:rsid w:val="006A487C"/>
    <w:rsid w:val="006A495F"/>
    <w:rsid w:val="006A59F9"/>
    <w:rsid w:val="006B0E9E"/>
    <w:rsid w:val="006B486D"/>
    <w:rsid w:val="006B5AE4"/>
    <w:rsid w:val="006D0F72"/>
    <w:rsid w:val="006D1507"/>
    <w:rsid w:val="006D18A7"/>
    <w:rsid w:val="006D2292"/>
    <w:rsid w:val="006D28E6"/>
    <w:rsid w:val="006D4054"/>
    <w:rsid w:val="006D4D5C"/>
    <w:rsid w:val="006E02EC"/>
    <w:rsid w:val="006E3C4F"/>
    <w:rsid w:val="006E6F41"/>
    <w:rsid w:val="006E73E6"/>
    <w:rsid w:val="00701AB6"/>
    <w:rsid w:val="007032FE"/>
    <w:rsid w:val="00705491"/>
    <w:rsid w:val="00717811"/>
    <w:rsid w:val="007211B1"/>
    <w:rsid w:val="007277DA"/>
    <w:rsid w:val="00731D27"/>
    <w:rsid w:val="0073385F"/>
    <w:rsid w:val="00736D80"/>
    <w:rsid w:val="0074427C"/>
    <w:rsid w:val="007455C4"/>
    <w:rsid w:val="007458F7"/>
    <w:rsid w:val="00746187"/>
    <w:rsid w:val="00756208"/>
    <w:rsid w:val="0076113D"/>
    <w:rsid w:val="0076254F"/>
    <w:rsid w:val="00772CB3"/>
    <w:rsid w:val="007801F5"/>
    <w:rsid w:val="00783CA4"/>
    <w:rsid w:val="00783E62"/>
    <w:rsid w:val="007842FB"/>
    <w:rsid w:val="00786124"/>
    <w:rsid w:val="007945ED"/>
    <w:rsid w:val="0079514B"/>
    <w:rsid w:val="00795252"/>
    <w:rsid w:val="007A2DC1"/>
    <w:rsid w:val="007A3493"/>
    <w:rsid w:val="007A7347"/>
    <w:rsid w:val="007B074E"/>
    <w:rsid w:val="007B39EE"/>
    <w:rsid w:val="007D0869"/>
    <w:rsid w:val="007D14C4"/>
    <w:rsid w:val="007D3319"/>
    <w:rsid w:val="007D335D"/>
    <w:rsid w:val="007D605C"/>
    <w:rsid w:val="007E218B"/>
    <w:rsid w:val="007E3314"/>
    <w:rsid w:val="007E3514"/>
    <w:rsid w:val="007E47F8"/>
    <w:rsid w:val="007E4B03"/>
    <w:rsid w:val="007E5F66"/>
    <w:rsid w:val="007F274C"/>
    <w:rsid w:val="007F324B"/>
    <w:rsid w:val="0080553C"/>
    <w:rsid w:val="00805648"/>
    <w:rsid w:val="00805B46"/>
    <w:rsid w:val="00805DB4"/>
    <w:rsid w:val="0081262B"/>
    <w:rsid w:val="0081320C"/>
    <w:rsid w:val="00823593"/>
    <w:rsid w:val="00825DC2"/>
    <w:rsid w:val="00834AD3"/>
    <w:rsid w:val="00843795"/>
    <w:rsid w:val="00847F0F"/>
    <w:rsid w:val="00852448"/>
    <w:rsid w:val="00863E60"/>
    <w:rsid w:val="00876252"/>
    <w:rsid w:val="00877F6C"/>
    <w:rsid w:val="0088258A"/>
    <w:rsid w:val="00886332"/>
    <w:rsid w:val="008925F0"/>
    <w:rsid w:val="0089448A"/>
    <w:rsid w:val="00897877"/>
    <w:rsid w:val="008A03F6"/>
    <w:rsid w:val="008A26D9"/>
    <w:rsid w:val="008A7B5B"/>
    <w:rsid w:val="008B016C"/>
    <w:rsid w:val="008B12D2"/>
    <w:rsid w:val="008B3A04"/>
    <w:rsid w:val="008C0C29"/>
    <w:rsid w:val="008C274A"/>
    <w:rsid w:val="008D02DA"/>
    <w:rsid w:val="008D3FC3"/>
    <w:rsid w:val="008D74D5"/>
    <w:rsid w:val="008D76BC"/>
    <w:rsid w:val="008E7DBA"/>
    <w:rsid w:val="008F0829"/>
    <w:rsid w:val="008F3638"/>
    <w:rsid w:val="008F4441"/>
    <w:rsid w:val="008F6B20"/>
    <w:rsid w:val="008F6F31"/>
    <w:rsid w:val="008F74DF"/>
    <w:rsid w:val="008F7B20"/>
    <w:rsid w:val="00902274"/>
    <w:rsid w:val="009026D2"/>
    <w:rsid w:val="009127BA"/>
    <w:rsid w:val="00917B74"/>
    <w:rsid w:val="00920AAE"/>
    <w:rsid w:val="009227A6"/>
    <w:rsid w:val="00932C98"/>
    <w:rsid w:val="00933EC1"/>
    <w:rsid w:val="00935D17"/>
    <w:rsid w:val="009425A0"/>
    <w:rsid w:val="009446AD"/>
    <w:rsid w:val="009530DB"/>
    <w:rsid w:val="00953676"/>
    <w:rsid w:val="00956716"/>
    <w:rsid w:val="00956F30"/>
    <w:rsid w:val="0096056A"/>
    <w:rsid w:val="00963D68"/>
    <w:rsid w:val="00966C9A"/>
    <w:rsid w:val="009705EE"/>
    <w:rsid w:val="00977927"/>
    <w:rsid w:val="0098135C"/>
    <w:rsid w:val="0098156A"/>
    <w:rsid w:val="0098721D"/>
    <w:rsid w:val="00991BAC"/>
    <w:rsid w:val="009A6981"/>
    <w:rsid w:val="009A6EA0"/>
    <w:rsid w:val="009A7474"/>
    <w:rsid w:val="009B111D"/>
    <w:rsid w:val="009B521D"/>
    <w:rsid w:val="009C1335"/>
    <w:rsid w:val="009C1AB2"/>
    <w:rsid w:val="009C7251"/>
    <w:rsid w:val="009D7360"/>
    <w:rsid w:val="009E2E91"/>
    <w:rsid w:val="009F3B06"/>
    <w:rsid w:val="009F5A88"/>
    <w:rsid w:val="009F6C1C"/>
    <w:rsid w:val="00A01B40"/>
    <w:rsid w:val="00A0554D"/>
    <w:rsid w:val="00A10674"/>
    <w:rsid w:val="00A131EF"/>
    <w:rsid w:val="00A139F5"/>
    <w:rsid w:val="00A1420F"/>
    <w:rsid w:val="00A27118"/>
    <w:rsid w:val="00A32E16"/>
    <w:rsid w:val="00A365F4"/>
    <w:rsid w:val="00A47D80"/>
    <w:rsid w:val="00A53132"/>
    <w:rsid w:val="00A563F2"/>
    <w:rsid w:val="00A566E8"/>
    <w:rsid w:val="00A5746C"/>
    <w:rsid w:val="00A652BF"/>
    <w:rsid w:val="00A66347"/>
    <w:rsid w:val="00A6708C"/>
    <w:rsid w:val="00A74628"/>
    <w:rsid w:val="00A75E90"/>
    <w:rsid w:val="00A810F9"/>
    <w:rsid w:val="00A82D31"/>
    <w:rsid w:val="00A85E7E"/>
    <w:rsid w:val="00A86ECC"/>
    <w:rsid w:val="00A86FCC"/>
    <w:rsid w:val="00A90A6D"/>
    <w:rsid w:val="00A9524D"/>
    <w:rsid w:val="00A971E5"/>
    <w:rsid w:val="00AA710D"/>
    <w:rsid w:val="00AB64F3"/>
    <w:rsid w:val="00AB6D25"/>
    <w:rsid w:val="00AC6A5F"/>
    <w:rsid w:val="00AD0E56"/>
    <w:rsid w:val="00AD7D81"/>
    <w:rsid w:val="00AE229B"/>
    <w:rsid w:val="00AE2D4B"/>
    <w:rsid w:val="00AE4F99"/>
    <w:rsid w:val="00AE7171"/>
    <w:rsid w:val="00B11B69"/>
    <w:rsid w:val="00B14952"/>
    <w:rsid w:val="00B14CB3"/>
    <w:rsid w:val="00B16871"/>
    <w:rsid w:val="00B232CE"/>
    <w:rsid w:val="00B25B45"/>
    <w:rsid w:val="00B31E5A"/>
    <w:rsid w:val="00B40A2A"/>
    <w:rsid w:val="00B47359"/>
    <w:rsid w:val="00B50409"/>
    <w:rsid w:val="00B64307"/>
    <w:rsid w:val="00B653AB"/>
    <w:rsid w:val="00B65F9E"/>
    <w:rsid w:val="00B66B19"/>
    <w:rsid w:val="00B728CE"/>
    <w:rsid w:val="00B80EEB"/>
    <w:rsid w:val="00B8340B"/>
    <w:rsid w:val="00B914E9"/>
    <w:rsid w:val="00B93B91"/>
    <w:rsid w:val="00B956EE"/>
    <w:rsid w:val="00B959B9"/>
    <w:rsid w:val="00BA2BA1"/>
    <w:rsid w:val="00BA2BA7"/>
    <w:rsid w:val="00BA3447"/>
    <w:rsid w:val="00BA3562"/>
    <w:rsid w:val="00BA6F83"/>
    <w:rsid w:val="00BB2CCE"/>
    <w:rsid w:val="00BB4F09"/>
    <w:rsid w:val="00BC0EDF"/>
    <w:rsid w:val="00BC2D48"/>
    <w:rsid w:val="00BD4E33"/>
    <w:rsid w:val="00C030DE"/>
    <w:rsid w:val="00C051A8"/>
    <w:rsid w:val="00C207C9"/>
    <w:rsid w:val="00C21B7A"/>
    <w:rsid w:val="00C22105"/>
    <w:rsid w:val="00C2288C"/>
    <w:rsid w:val="00C244B6"/>
    <w:rsid w:val="00C27BF1"/>
    <w:rsid w:val="00C3577D"/>
    <w:rsid w:val="00C3702F"/>
    <w:rsid w:val="00C440B4"/>
    <w:rsid w:val="00C4500A"/>
    <w:rsid w:val="00C57499"/>
    <w:rsid w:val="00C61DE0"/>
    <w:rsid w:val="00C62238"/>
    <w:rsid w:val="00C64A37"/>
    <w:rsid w:val="00C679B3"/>
    <w:rsid w:val="00C70C2A"/>
    <w:rsid w:val="00C7158E"/>
    <w:rsid w:val="00C7250B"/>
    <w:rsid w:val="00C7346B"/>
    <w:rsid w:val="00C751EB"/>
    <w:rsid w:val="00C77C0E"/>
    <w:rsid w:val="00C82F24"/>
    <w:rsid w:val="00C91687"/>
    <w:rsid w:val="00C924A8"/>
    <w:rsid w:val="00C945FE"/>
    <w:rsid w:val="00C96FAA"/>
    <w:rsid w:val="00C97A04"/>
    <w:rsid w:val="00CA107B"/>
    <w:rsid w:val="00CA45E3"/>
    <w:rsid w:val="00CA484D"/>
    <w:rsid w:val="00CA4FB6"/>
    <w:rsid w:val="00CB2F90"/>
    <w:rsid w:val="00CB651D"/>
    <w:rsid w:val="00CB6AD4"/>
    <w:rsid w:val="00CC5570"/>
    <w:rsid w:val="00CC739E"/>
    <w:rsid w:val="00CD1EBB"/>
    <w:rsid w:val="00CD28CF"/>
    <w:rsid w:val="00CD2ED9"/>
    <w:rsid w:val="00CD58B7"/>
    <w:rsid w:val="00CD7967"/>
    <w:rsid w:val="00CF18EE"/>
    <w:rsid w:val="00CF30BD"/>
    <w:rsid w:val="00CF4099"/>
    <w:rsid w:val="00D00796"/>
    <w:rsid w:val="00D0522E"/>
    <w:rsid w:val="00D261A2"/>
    <w:rsid w:val="00D3639A"/>
    <w:rsid w:val="00D41D8A"/>
    <w:rsid w:val="00D427AC"/>
    <w:rsid w:val="00D616D2"/>
    <w:rsid w:val="00D6299E"/>
    <w:rsid w:val="00D63B5F"/>
    <w:rsid w:val="00D66606"/>
    <w:rsid w:val="00D70EF7"/>
    <w:rsid w:val="00D8397C"/>
    <w:rsid w:val="00D94EED"/>
    <w:rsid w:val="00D96026"/>
    <w:rsid w:val="00D972F6"/>
    <w:rsid w:val="00DA0CB3"/>
    <w:rsid w:val="00DA331D"/>
    <w:rsid w:val="00DA37A0"/>
    <w:rsid w:val="00DA7C1C"/>
    <w:rsid w:val="00DB0A55"/>
    <w:rsid w:val="00DB147A"/>
    <w:rsid w:val="00DB1B7A"/>
    <w:rsid w:val="00DB621E"/>
    <w:rsid w:val="00DB625A"/>
    <w:rsid w:val="00DB706E"/>
    <w:rsid w:val="00DC05A6"/>
    <w:rsid w:val="00DC0DAC"/>
    <w:rsid w:val="00DC6708"/>
    <w:rsid w:val="00DD011A"/>
    <w:rsid w:val="00DD06BA"/>
    <w:rsid w:val="00DD611D"/>
    <w:rsid w:val="00DE2400"/>
    <w:rsid w:val="00DE3BB2"/>
    <w:rsid w:val="00DE58F1"/>
    <w:rsid w:val="00DE6690"/>
    <w:rsid w:val="00DE6B58"/>
    <w:rsid w:val="00DF5E32"/>
    <w:rsid w:val="00E01436"/>
    <w:rsid w:val="00E03E79"/>
    <w:rsid w:val="00E045BD"/>
    <w:rsid w:val="00E04D6C"/>
    <w:rsid w:val="00E135F0"/>
    <w:rsid w:val="00E145E3"/>
    <w:rsid w:val="00E17B77"/>
    <w:rsid w:val="00E221E0"/>
    <w:rsid w:val="00E231AB"/>
    <w:rsid w:val="00E23337"/>
    <w:rsid w:val="00E259EA"/>
    <w:rsid w:val="00E25D33"/>
    <w:rsid w:val="00E27213"/>
    <w:rsid w:val="00E31F4E"/>
    <w:rsid w:val="00E32061"/>
    <w:rsid w:val="00E33F48"/>
    <w:rsid w:val="00E42FF9"/>
    <w:rsid w:val="00E44790"/>
    <w:rsid w:val="00E45965"/>
    <w:rsid w:val="00E4714C"/>
    <w:rsid w:val="00E4741D"/>
    <w:rsid w:val="00E504CD"/>
    <w:rsid w:val="00E5178D"/>
    <w:rsid w:val="00E51AEB"/>
    <w:rsid w:val="00E522A7"/>
    <w:rsid w:val="00E5349E"/>
    <w:rsid w:val="00E54452"/>
    <w:rsid w:val="00E5642F"/>
    <w:rsid w:val="00E63B0C"/>
    <w:rsid w:val="00E65214"/>
    <w:rsid w:val="00E664C5"/>
    <w:rsid w:val="00E671A2"/>
    <w:rsid w:val="00E676F7"/>
    <w:rsid w:val="00E75736"/>
    <w:rsid w:val="00E76D26"/>
    <w:rsid w:val="00E76EE5"/>
    <w:rsid w:val="00E87107"/>
    <w:rsid w:val="00E8768A"/>
    <w:rsid w:val="00E87B8D"/>
    <w:rsid w:val="00E95B8E"/>
    <w:rsid w:val="00EA2590"/>
    <w:rsid w:val="00EA3F4A"/>
    <w:rsid w:val="00EB1390"/>
    <w:rsid w:val="00EB1711"/>
    <w:rsid w:val="00EB2C71"/>
    <w:rsid w:val="00EB3333"/>
    <w:rsid w:val="00EB4340"/>
    <w:rsid w:val="00EB556D"/>
    <w:rsid w:val="00EB5A7D"/>
    <w:rsid w:val="00EB7ED1"/>
    <w:rsid w:val="00ED43A2"/>
    <w:rsid w:val="00ED55C0"/>
    <w:rsid w:val="00ED6778"/>
    <w:rsid w:val="00ED682B"/>
    <w:rsid w:val="00EE41D5"/>
    <w:rsid w:val="00EE6A82"/>
    <w:rsid w:val="00F0166F"/>
    <w:rsid w:val="00F03678"/>
    <w:rsid w:val="00F037A4"/>
    <w:rsid w:val="00F049AB"/>
    <w:rsid w:val="00F142DB"/>
    <w:rsid w:val="00F15F2E"/>
    <w:rsid w:val="00F27C8F"/>
    <w:rsid w:val="00F32749"/>
    <w:rsid w:val="00F33074"/>
    <w:rsid w:val="00F34C98"/>
    <w:rsid w:val="00F35736"/>
    <w:rsid w:val="00F37172"/>
    <w:rsid w:val="00F417DC"/>
    <w:rsid w:val="00F42534"/>
    <w:rsid w:val="00F425BB"/>
    <w:rsid w:val="00F4348E"/>
    <w:rsid w:val="00F4477E"/>
    <w:rsid w:val="00F46269"/>
    <w:rsid w:val="00F46DE8"/>
    <w:rsid w:val="00F52F34"/>
    <w:rsid w:val="00F57AFC"/>
    <w:rsid w:val="00F60BA8"/>
    <w:rsid w:val="00F61A4A"/>
    <w:rsid w:val="00F67D8F"/>
    <w:rsid w:val="00F802BE"/>
    <w:rsid w:val="00F80353"/>
    <w:rsid w:val="00F80E93"/>
    <w:rsid w:val="00F8171D"/>
    <w:rsid w:val="00F86024"/>
    <w:rsid w:val="00F8611A"/>
    <w:rsid w:val="00F92615"/>
    <w:rsid w:val="00FA5128"/>
    <w:rsid w:val="00FA5306"/>
    <w:rsid w:val="00FB23F8"/>
    <w:rsid w:val="00FB42D4"/>
    <w:rsid w:val="00FB5906"/>
    <w:rsid w:val="00FB762F"/>
    <w:rsid w:val="00FC2AED"/>
    <w:rsid w:val="00FC4A73"/>
    <w:rsid w:val="00FC505A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316A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79B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79B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79B3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FC4A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5.png"/><Relationship Id="rId39" Type="http://schemas.openxmlformats.org/officeDocument/2006/relationships/hyperlink" Target="https://stat.gov.pl/metainformacje/slownik-pojec/pojecia-stosowane-w-statystyce-publicznej/3917,pojecie.html" TargetMode="External"/><Relationship Id="rId21" Type="http://schemas.openxmlformats.org/officeDocument/2006/relationships/header" Target="header2.xml"/><Relationship Id="rId34" Type="http://schemas.openxmlformats.org/officeDocument/2006/relationships/hyperlink" Target="https://www.linkedin.com/glownyurzadstatystyczny" TargetMode="External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wmf"/><Relationship Id="rId20" Type="http://schemas.openxmlformats.org/officeDocument/2006/relationships/footer" Target="footer1.xml"/><Relationship Id="rId29" Type="http://schemas.openxmlformats.org/officeDocument/2006/relationships/hyperlink" Target="https://www.facebook.com/USWroclaw/?modal=admin_todo_tour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wmf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hyperlink" Target="https://bdl.stat.gov.pl/BDL/dane/podgrup/temat" TargetMode="External"/><Relationship Id="rId40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8.wmf"/><Relationship Id="rId23" Type="http://schemas.openxmlformats.org/officeDocument/2006/relationships/hyperlink" Target="mailto:A.Ilczuk@stat.gov.pl" TargetMode="External"/><Relationship Id="rId28" Type="http://schemas.openxmlformats.org/officeDocument/2006/relationships/image" Target="media/image16.png"/><Relationship Id="rId36" Type="http://schemas.openxmlformats.org/officeDocument/2006/relationships/hyperlink" Target="https://stat.gov.pl/spisy-powszechne/nsp-2021/nsp-2021-wyniki-wstepne/wyposazenie-mieszkan-i-budynkow-w-instalacje-i-urzadzenia-techniczne-wyniki-wstepne-nsp-2021,3,1.html" TargetMode="External"/><Relationship Id="rId10" Type="http://schemas.openxmlformats.org/officeDocument/2006/relationships/image" Target="media/image3.wmf"/><Relationship Id="rId19" Type="http://schemas.openxmlformats.org/officeDocument/2006/relationships/header" Target="header1.xml"/><Relationship Id="rId31" Type="http://schemas.openxmlformats.org/officeDocument/2006/relationships/hyperlink" Target="https://www.instagram.com/gus_stat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wmf"/><Relationship Id="rId22" Type="http://schemas.openxmlformats.org/officeDocument/2006/relationships/footer" Target="footer2.xml"/><Relationship Id="rId27" Type="http://schemas.openxmlformats.org/officeDocument/2006/relationships/hyperlink" Target="https://twitter.com/Wroclaw_STAT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19.png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hyperlink" Target="http://wroclaw.stat.gov.pl/" TargetMode="External"/><Relationship Id="rId33" Type="http://schemas.openxmlformats.org/officeDocument/2006/relationships/hyperlink" Target="https://www.youtube.com/c/G%C5%82%C3%B3wnyUrz%C4%85dStatystycznyGUS" TargetMode="External"/><Relationship Id="rId38" Type="http://schemas.openxmlformats.org/officeDocument/2006/relationships/hyperlink" Target="https://stat.gov.p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Wzór sygnalna_NSP_27092022 v.1092022.docx.docx</NazwaPliku>
    <Osoba xmlns="AD3641B4-23D9-4536-AF9E-7D0EADDEB824">STAT\WROBELKA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9DF19-74E6-448B-8702-9F478A29F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schemas.microsoft.com/office/2006/documentManagement/types"/>
    <ds:schemaRef ds:uri="AD3641B4-23D9-4536-AF9E-7D0EADDEB824"/>
    <ds:schemaRef ds:uri="http://purl.org/dc/dcmitype/"/>
    <ds:schemaRef ds:uri="http://schemas.microsoft.com/sharepoint/v3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6943B70E-FADA-4A6C-A7FC-C15280C30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1941</Words>
  <Characters>10269</Characters>
  <Application>Microsoft Office Word</Application>
  <DocSecurity>0</DocSecurity>
  <Lines>540</Lines>
  <Paragraphs>206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Łukaszewicz Leszek</cp:lastModifiedBy>
  <cp:revision>2</cp:revision>
  <cp:lastPrinted>2019-02-21T09:45:00Z</cp:lastPrinted>
  <dcterms:created xsi:type="dcterms:W3CDTF">2022-09-27T07:52:00Z</dcterms:created>
  <dcterms:modified xsi:type="dcterms:W3CDTF">2022-09-27T07:52:00Z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